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F5F68" w14:textId="77777777" w:rsidR="00D022CD" w:rsidRDefault="00D022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3366FF"/>
          <w:sz w:val="22"/>
          <w:szCs w:val="36"/>
        </w:rPr>
      </w:pPr>
      <w:permStart w:id="403140118" w:edGrp="everyone"/>
      <w:permEnd w:id="403140118"/>
    </w:p>
    <w:p w14:paraId="544C10D1" w14:textId="77777777" w:rsidR="00D022CD" w:rsidRPr="00A9691A" w:rsidRDefault="00D022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4472C4" w:themeColor="accent1"/>
          <w:sz w:val="20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907"/>
      </w:tblGrid>
      <w:tr w:rsidR="00A9691A" w:rsidRPr="00A9691A" w14:paraId="499E132D" w14:textId="77777777" w:rsidTr="00276DF4">
        <w:trPr>
          <w:trHeight w:val="2506"/>
          <w:jc w:val="center"/>
        </w:trPr>
        <w:tc>
          <w:tcPr>
            <w:tcW w:w="0" w:type="auto"/>
          </w:tcPr>
          <w:p w14:paraId="7ADB4975" w14:textId="77777777" w:rsidR="00027024" w:rsidRPr="00A9691A" w:rsidRDefault="00027024" w:rsidP="00316697">
            <w:pPr>
              <w:spacing w:after="120"/>
              <w:jc w:val="center"/>
              <w:rPr>
                <w:rFonts w:ascii="Calibri Light" w:hAnsi="Calibri Light" w:cs="Calibri Light"/>
                <w:color w:val="4472C4" w:themeColor="accent1"/>
                <w:sz w:val="20"/>
                <w:szCs w:val="20"/>
              </w:rPr>
            </w:pPr>
            <w:r w:rsidRPr="00A9691A">
              <w:rPr>
                <w:rFonts w:ascii="Calibri Light" w:hAnsi="Calibri Light" w:cs="Calibri Light"/>
                <w:color w:val="4472C4" w:themeColor="accent1"/>
                <w:sz w:val="20"/>
                <w:szCs w:val="20"/>
              </w:rPr>
              <w:t>ZARZĄD MORSKICH PORTÓW SZCZECIN I ŚWINOUJŚCIE S.A.</w:t>
            </w:r>
          </w:p>
        </w:tc>
      </w:tr>
      <w:tr w:rsidR="00027024" w:rsidRPr="00C656D9" w14:paraId="082B2302" w14:textId="77777777" w:rsidTr="00316697">
        <w:trPr>
          <w:trHeight w:val="1440"/>
          <w:jc w:val="center"/>
        </w:trPr>
        <w:tc>
          <w:tcPr>
            <w:tcW w:w="0" w:type="auto"/>
            <w:tcBorders>
              <w:bottom w:val="single" w:sz="4" w:space="0" w:color="4F81BD"/>
            </w:tcBorders>
            <w:vAlign w:val="center"/>
          </w:tcPr>
          <w:p w14:paraId="20E7C2E2" w14:textId="77777777" w:rsidR="0058352A" w:rsidRDefault="00027024" w:rsidP="00271199">
            <w:pPr>
              <w:spacing w:after="120"/>
              <w:jc w:val="center"/>
              <w:rPr>
                <w:rFonts w:ascii="Calibri Light" w:hAnsi="Calibri Light" w:cs="Calibri Light"/>
                <w:sz w:val="80"/>
              </w:rPr>
            </w:pPr>
            <w:r>
              <w:rPr>
                <w:rFonts w:ascii="Calibri Light" w:hAnsi="Calibri Light" w:cs="Calibri Light"/>
                <w:sz w:val="80"/>
              </w:rPr>
              <w:t>Taryfa</w:t>
            </w:r>
            <w:r w:rsidR="00271199">
              <w:rPr>
                <w:rFonts w:ascii="Calibri Light" w:hAnsi="Calibri Light" w:cs="Calibri Light"/>
                <w:sz w:val="80"/>
              </w:rPr>
              <w:t xml:space="preserve"> </w:t>
            </w:r>
            <w:r w:rsidRPr="00027024">
              <w:rPr>
                <w:rFonts w:ascii="Calibri Light" w:hAnsi="Calibri Light" w:cs="Calibri Light"/>
                <w:sz w:val="80"/>
              </w:rPr>
              <w:t xml:space="preserve">Opłat </w:t>
            </w:r>
          </w:p>
          <w:p w14:paraId="5016EE5F" w14:textId="62B56C55" w:rsidR="000C6631" w:rsidRDefault="000C6631" w:rsidP="00271199">
            <w:pPr>
              <w:spacing w:after="120"/>
              <w:jc w:val="center"/>
              <w:rPr>
                <w:rFonts w:ascii="Calibri Light" w:hAnsi="Calibri Light" w:cs="Calibri Light"/>
                <w:sz w:val="80"/>
              </w:rPr>
            </w:pPr>
            <w:r w:rsidRPr="0058352A">
              <w:rPr>
                <w:rFonts w:ascii="Calibri Light" w:hAnsi="Calibri Light" w:cs="Calibri Light"/>
                <w:sz w:val="40"/>
                <w:szCs w:val="40"/>
              </w:rPr>
              <w:t xml:space="preserve">za usługi </w:t>
            </w:r>
            <w:r w:rsidR="007125C8">
              <w:rPr>
                <w:rFonts w:ascii="Calibri Light" w:hAnsi="Calibri Light" w:cs="Calibri Light"/>
                <w:sz w:val="40"/>
                <w:szCs w:val="40"/>
              </w:rPr>
              <w:t>w t</w:t>
            </w:r>
            <w:r w:rsidR="00D810F6" w:rsidRPr="0058352A">
              <w:rPr>
                <w:rFonts w:ascii="Calibri Light" w:hAnsi="Calibri Light" w:cs="Calibri Light"/>
                <w:sz w:val="40"/>
                <w:szCs w:val="40"/>
              </w:rPr>
              <w:t>erminal</w:t>
            </w:r>
            <w:r w:rsidR="007125C8">
              <w:rPr>
                <w:rFonts w:ascii="Calibri Light" w:hAnsi="Calibri Light" w:cs="Calibri Light"/>
                <w:sz w:val="40"/>
                <w:szCs w:val="40"/>
              </w:rPr>
              <w:t>u</w:t>
            </w:r>
            <w:r w:rsidR="00D810F6" w:rsidRPr="0058352A">
              <w:rPr>
                <w:rFonts w:ascii="Calibri Light" w:hAnsi="Calibri Light" w:cs="Calibri Light"/>
                <w:sz w:val="40"/>
                <w:szCs w:val="40"/>
              </w:rPr>
              <w:t xml:space="preserve"> </w:t>
            </w:r>
            <w:r w:rsidR="007125C8">
              <w:rPr>
                <w:rFonts w:ascii="Calibri Light" w:hAnsi="Calibri Light" w:cs="Calibri Light"/>
                <w:sz w:val="40"/>
                <w:szCs w:val="40"/>
              </w:rPr>
              <w:t>p</w:t>
            </w:r>
            <w:r w:rsidRPr="0058352A">
              <w:rPr>
                <w:rFonts w:ascii="Calibri Light" w:hAnsi="Calibri Light" w:cs="Calibri Light"/>
                <w:sz w:val="40"/>
                <w:szCs w:val="40"/>
              </w:rPr>
              <w:t>romow</w:t>
            </w:r>
            <w:r w:rsidR="007125C8">
              <w:rPr>
                <w:rFonts w:ascii="Calibri Light" w:hAnsi="Calibri Light" w:cs="Calibri Light"/>
                <w:sz w:val="40"/>
                <w:szCs w:val="40"/>
              </w:rPr>
              <w:t>ym w</w:t>
            </w:r>
            <w:r w:rsidRPr="0058352A">
              <w:rPr>
                <w:rFonts w:ascii="Calibri Light" w:hAnsi="Calibri Light" w:cs="Calibri Light"/>
                <w:sz w:val="40"/>
                <w:szCs w:val="40"/>
              </w:rPr>
              <w:t xml:space="preserve"> Świnoujści</w:t>
            </w:r>
            <w:r w:rsidR="007125C8">
              <w:rPr>
                <w:rFonts w:ascii="Calibri Light" w:hAnsi="Calibri Light" w:cs="Calibri Light"/>
                <w:sz w:val="40"/>
                <w:szCs w:val="40"/>
              </w:rPr>
              <w:t>u</w:t>
            </w:r>
          </w:p>
          <w:p w14:paraId="505280FC" w14:textId="1789C8A4" w:rsidR="00271199" w:rsidRPr="00C656D9" w:rsidRDefault="00271199" w:rsidP="00271199">
            <w:pPr>
              <w:spacing w:after="120"/>
              <w:jc w:val="center"/>
              <w:rPr>
                <w:rFonts w:ascii="Calibri Light" w:hAnsi="Calibri Light" w:cs="Calibri Light"/>
              </w:rPr>
            </w:pPr>
          </w:p>
        </w:tc>
      </w:tr>
      <w:tr w:rsidR="00027024" w:rsidRPr="00C656D9" w14:paraId="3B593A33" w14:textId="77777777" w:rsidTr="003742A7">
        <w:trPr>
          <w:trHeight w:val="4282"/>
          <w:jc w:val="center"/>
        </w:trPr>
        <w:tc>
          <w:tcPr>
            <w:tcW w:w="0" w:type="auto"/>
            <w:tcBorders>
              <w:top w:val="single" w:sz="4" w:space="0" w:color="4F81BD"/>
            </w:tcBorders>
            <w:vAlign w:val="center"/>
          </w:tcPr>
          <w:p w14:paraId="79EAC6EF" w14:textId="77777777" w:rsidR="00027024" w:rsidRPr="00C656D9" w:rsidRDefault="00027024" w:rsidP="00316697">
            <w:pPr>
              <w:spacing w:after="120"/>
              <w:jc w:val="center"/>
              <w:rPr>
                <w:rFonts w:ascii="Calibri Light" w:hAnsi="Calibri Light" w:cs="Calibri Light"/>
              </w:rPr>
            </w:pPr>
          </w:p>
          <w:p w14:paraId="3EDEBC68" w14:textId="77777777" w:rsidR="00027024" w:rsidRPr="00C656D9" w:rsidRDefault="00027024" w:rsidP="00316697">
            <w:pPr>
              <w:spacing w:after="120"/>
              <w:jc w:val="center"/>
              <w:rPr>
                <w:rFonts w:ascii="Calibri Light" w:hAnsi="Calibri Light" w:cs="Calibri Light"/>
              </w:rPr>
            </w:pPr>
          </w:p>
          <w:p w14:paraId="01EEA5BF" w14:textId="77777777" w:rsidR="00027024" w:rsidRPr="00C656D9" w:rsidRDefault="00027024" w:rsidP="00316697">
            <w:pPr>
              <w:spacing w:after="120"/>
              <w:jc w:val="center"/>
              <w:rPr>
                <w:rFonts w:ascii="Calibri Light" w:hAnsi="Calibri Light" w:cs="Calibri Light"/>
              </w:rPr>
            </w:pPr>
          </w:p>
        </w:tc>
      </w:tr>
      <w:tr w:rsidR="00027024" w:rsidRPr="00C656D9" w14:paraId="376CB980" w14:textId="77777777" w:rsidTr="003742A7">
        <w:trPr>
          <w:trHeight w:val="1840"/>
          <w:jc w:val="center"/>
        </w:trPr>
        <w:tc>
          <w:tcPr>
            <w:tcW w:w="0" w:type="auto"/>
            <w:vAlign w:val="center"/>
          </w:tcPr>
          <w:p w14:paraId="691A77A4" w14:textId="618CFF4B" w:rsidR="00027024" w:rsidRPr="00286B88" w:rsidRDefault="00AB233E" w:rsidP="00AB233E">
            <w:pPr>
              <w:spacing w:after="12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ze zmianami </w:t>
            </w:r>
            <w:r w:rsidR="00027024" w:rsidRPr="00286B88">
              <w:rPr>
                <w:rFonts w:ascii="Calibri Light" w:hAnsi="Calibri Light" w:cs="Calibri Light"/>
                <w:b/>
                <w:sz w:val="20"/>
                <w:szCs w:val="20"/>
              </w:rPr>
              <w:t>obowiązując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ymi</w:t>
            </w:r>
            <w:bookmarkStart w:id="0" w:name="_GoBack"/>
            <w:bookmarkEnd w:id="0"/>
            <w:r w:rsidR="00027024" w:rsidRPr="00286B88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od dnia</w:t>
            </w:r>
            <w:r w:rsidR="00027024" w:rsidRPr="00286B88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="009347DF" w:rsidRPr="00286B88">
              <w:rPr>
                <w:rFonts w:ascii="Calibri Light" w:hAnsi="Calibri Light" w:cs="Calibri Light"/>
                <w:b/>
                <w:sz w:val="20"/>
                <w:szCs w:val="20"/>
              </w:rPr>
              <w:t>01.04.</w:t>
            </w:r>
            <w:r w:rsidR="00EE0FCB" w:rsidRPr="00286B88">
              <w:rPr>
                <w:rFonts w:ascii="Calibri Light" w:hAnsi="Calibri Light" w:cs="Calibri Light"/>
                <w:b/>
                <w:sz w:val="20"/>
                <w:szCs w:val="20"/>
              </w:rPr>
              <w:t>202</w:t>
            </w:r>
            <w:r w:rsidR="00EE0FCB">
              <w:rPr>
                <w:rFonts w:ascii="Calibri Light" w:hAnsi="Calibri Light" w:cs="Calibri Light"/>
                <w:b/>
                <w:sz w:val="20"/>
                <w:szCs w:val="20"/>
              </w:rPr>
              <w:t>2</w:t>
            </w:r>
            <w:r w:rsidR="00027024" w:rsidRPr="00286B88">
              <w:rPr>
                <w:rFonts w:ascii="Calibri Light" w:hAnsi="Calibri Light" w:cs="Calibri Light"/>
                <w:b/>
                <w:sz w:val="20"/>
                <w:szCs w:val="20"/>
              </w:rPr>
              <w:t>roku</w:t>
            </w:r>
          </w:p>
        </w:tc>
      </w:tr>
    </w:tbl>
    <w:p w14:paraId="052DFB52" w14:textId="77777777" w:rsidR="00D022CD" w:rsidRDefault="00D022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3366FF"/>
          <w:sz w:val="22"/>
          <w:szCs w:val="36"/>
        </w:rPr>
      </w:pPr>
    </w:p>
    <w:p w14:paraId="33A77B25" w14:textId="7311A3A2" w:rsidR="00CD3631" w:rsidRPr="00326B68" w:rsidRDefault="00CD3631" w:rsidP="00CD3631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  <w:color w:val="000000" w:themeColor="text1"/>
          <w:sz w:val="22"/>
          <w:szCs w:val="36"/>
        </w:rPr>
      </w:pPr>
      <w:r w:rsidRPr="00326B68">
        <w:rPr>
          <w:rFonts w:asciiTheme="minorHAnsi" w:hAnsiTheme="minorHAnsi" w:cs="Arial"/>
          <w:bCs/>
          <w:color w:val="000000" w:themeColor="text1"/>
          <w:sz w:val="22"/>
          <w:szCs w:val="36"/>
        </w:rPr>
        <w:t xml:space="preserve">Taryfa zatwierdzona uchwałą nr </w:t>
      </w:r>
      <w:r>
        <w:rPr>
          <w:rFonts w:asciiTheme="minorHAnsi" w:hAnsiTheme="minorHAnsi" w:cs="Arial"/>
          <w:bCs/>
          <w:color w:val="000000" w:themeColor="text1"/>
          <w:sz w:val="22"/>
          <w:szCs w:val="36"/>
        </w:rPr>
        <w:t>12</w:t>
      </w:r>
      <w:r w:rsidRPr="00326B68">
        <w:rPr>
          <w:rFonts w:asciiTheme="minorHAnsi" w:hAnsiTheme="minorHAnsi" w:cs="Arial"/>
          <w:bCs/>
          <w:color w:val="000000" w:themeColor="text1"/>
          <w:sz w:val="22"/>
          <w:szCs w:val="36"/>
        </w:rPr>
        <w:t xml:space="preserve"> z dnia </w:t>
      </w:r>
      <w:r>
        <w:rPr>
          <w:rFonts w:asciiTheme="minorHAnsi" w:hAnsiTheme="minorHAnsi" w:cs="Arial"/>
          <w:bCs/>
          <w:color w:val="000000" w:themeColor="text1"/>
          <w:sz w:val="22"/>
          <w:szCs w:val="36"/>
        </w:rPr>
        <w:t>2</w:t>
      </w:r>
      <w:r w:rsidRPr="00326B68">
        <w:rPr>
          <w:rFonts w:asciiTheme="minorHAnsi" w:hAnsiTheme="minorHAnsi" w:cs="Arial"/>
          <w:bCs/>
          <w:color w:val="000000" w:themeColor="text1"/>
          <w:sz w:val="22"/>
          <w:szCs w:val="36"/>
        </w:rPr>
        <w:t>1 stycznia 2020 roku</w:t>
      </w:r>
    </w:p>
    <w:p w14:paraId="3B2BFF9A" w14:textId="1CEB0598" w:rsidR="00CD3631" w:rsidRPr="00326B68" w:rsidRDefault="00CD3631" w:rsidP="00CD3631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  <w:color w:val="000000" w:themeColor="text1"/>
          <w:sz w:val="22"/>
          <w:szCs w:val="36"/>
        </w:rPr>
      </w:pPr>
      <w:r w:rsidRPr="00326B68">
        <w:rPr>
          <w:rFonts w:asciiTheme="minorHAnsi" w:hAnsiTheme="minorHAnsi" w:cs="Arial"/>
          <w:bCs/>
          <w:color w:val="000000" w:themeColor="text1"/>
          <w:sz w:val="22"/>
          <w:szCs w:val="36"/>
        </w:rPr>
        <w:t>Zarządu Spółki</w:t>
      </w:r>
      <w:r w:rsidR="00EE0FCB">
        <w:rPr>
          <w:rFonts w:asciiTheme="minorHAnsi" w:hAnsiTheme="minorHAnsi" w:cs="Arial"/>
          <w:bCs/>
          <w:color w:val="000000" w:themeColor="text1"/>
          <w:sz w:val="22"/>
          <w:szCs w:val="36"/>
        </w:rPr>
        <w:t xml:space="preserve"> z późniejszymi zmianami</w:t>
      </w:r>
    </w:p>
    <w:p w14:paraId="500F20A6" w14:textId="77777777" w:rsidR="00D022CD" w:rsidRDefault="00D022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3366FF"/>
          <w:sz w:val="22"/>
          <w:szCs w:val="36"/>
        </w:rPr>
      </w:pPr>
    </w:p>
    <w:p w14:paraId="6F64726B" w14:textId="77777777" w:rsidR="00D022CD" w:rsidRDefault="00D022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3366FF"/>
          <w:sz w:val="22"/>
          <w:szCs w:val="36"/>
        </w:rPr>
      </w:pPr>
    </w:p>
    <w:p w14:paraId="7B866535" w14:textId="77777777" w:rsidR="00D022CD" w:rsidRDefault="00D022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3366FF"/>
          <w:sz w:val="22"/>
          <w:szCs w:val="36"/>
        </w:rPr>
      </w:pPr>
    </w:p>
    <w:p w14:paraId="6DE5A9A6" w14:textId="77777777" w:rsidR="00D022CD" w:rsidRDefault="00D022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3366FF"/>
          <w:sz w:val="22"/>
          <w:szCs w:val="36"/>
        </w:rPr>
      </w:pPr>
    </w:p>
    <w:p w14:paraId="2FF90476" w14:textId="77777777" w:rsidR="00D022CD" w:rsidRDefault="00D022CD">
      <w:pPr>
        <w:autoSpaceDE w:val="0"/>
        <w:autoSpaceDN w:val="0"/>
        <w:adjustRightInd w:val="0"/>
        <w:rPr>
          <w:color w:val="000000"/>
          <w:sz w:val="22"/>
        </w:rPr>
      </w:pPr>
    </w:p>
    <w:p w14:paraId="7F2D016C" w14:textId="0095740E" w:rsidR="00D022CD" w:rsidRDefault="00D022CD">
      <w:pPr>
        <w:autoSpaceDE w:val="0"/>
        <w:autoSpaceDN w:val="0"/>
        <w:adjustRightInd w:val="0"/>
        <w:rPr>
          <w:color w:val="000000"/>
          <w:sz w:val="22"/>
        </w:rPr>
      </w:pPr>
    </w:p>
    <w:p w14:paraId="1E17A72D" w14:textId="383D99E7" w:rsidR="00D022CD" w:rsidRPr="007E0320" w:rsidRDefault="007E0320" w:rsidP="007E0320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bCs/>
          <w:color w:val="4472C4" w:themeColor="accent1"/>
          <w:sz w:val="20"/>
          <w:szCs w:val="20"/>
        </w:rPr>
      </w:pPr>
      <w:r w:rsidRPr="007E0320">
        <w:rPr>
          <w:rFonts w:asciiTheme="majorHAnsi" w:hAnsiTheme="majorHAnsi" w:cstheme="majorHAnsi"/>
          <w:b/>
          <w:bCs/>
          <w:color w:val="4472C4" w:themeColor="accent1"/>
          <w:sz w:val="20"/>
          <w:szCs w:val="20"/>
        </w:rPr>
        <w:t>SPIS TREŚCI</w:t>
      </w:r>
    </w:p>
    <w:p w14:paraId="2E45FE86" w14:textId="77777777" w:rsidR="007E0320" w:rsidRPr="00CD3631" w:rsidRDefault="007E0320" w:rsidP="00F2546D">
      <w:pPr>
        <w:autoSpaceDE w:val="0"/>
        <w:autoSpaceDN w:val="0"/>
        <w:adjustRightInd w:val="0"/>
        <w:spacing w:after="120"/>
        <w:jc w:val="center"/>
        <w:rPr>
          <w:rFonts w:ascii="Calibri Light" w:hAnsi="Calibri Light" w:cs="Calibri Light"/>
          <w:color w:val="000000"/>
          <w:sz w:val="22"/>
          <w:szCs w:val="22"/>
        </w:rPr>
      </w:pPr>
    </w:p>
    <w:p w14:paraId="08E683B1" w14:textId="77777777" w:rsidR="00E03C93" w:rsidRPr="00E03C93" w:rsidRDefault="00D022CD" w:rsidP="00E03C93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r w:rsidRPr="00E03C93">
        <w:rPr>
          <w:rFonts w:ascii="Calibri Light" w:hAnsi="Calibri Light" w:cs="Calibri Light"/>
          <w:color w:val="000000"/>
          <w:sz w:val="22"/>
          <w:szCs w:val="22"/>
        </w:rPr>
        <w:fldChar w:fldCharType="begin"/>
      </w:r>
      <w:r w:rsidRPr="00E03C93">
        <w:rPr>
          <w:rFonts w:ascii="Calibri Light" w:hAnsi="Calibri Light" w:cs="Calibri Light"/>
          <w:color w:val="000000"/>
          <w:sz w:val="22"/>
          <w:szCs w:val="22"/>
        </w:rPr>
        <w:instrText xml:space="preserve"> TOC \o "1-1" \h \z </w:instrText>
      </w:r>
      <w:r w:rsidRPr="00E03C93">
        <w:rPr>
          <w:rFonts w:ascii="Calibri Light" w:hAnsi="Calibri Light" w:cs="Calibri Light"/>
          <w:color w:val="000000"/>
          <w:sz w:val="22"/>
          <w:szCs w:val="22"/>
        </w:rPr>
        <w:fldChar w:fldCharType="separate"/>
      </w:r>
      <w:hyperlink w:anchor="_Toc95895307" w:history="1">
        <w:r w:rsidR="00E03C93" w:rsidRPr="00E03C93">
          <w:rPr>
            <w:rStyle w:val="Hipercze"/>
          </w:rPr>
          <w:t xml:space="preserve">§ 1 </w:t>
        </w:r>
        <w:r w:rsidR="00E03C93" w:rsidRPr="00E03C9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3C93" w:rsidRPr="00E03C93">
          <w:rPr>
            <w:rStyle w:val="Hipercze"/>
          </w:rPr>
          <w:t>Sposób obliczania opłat wymienionych w Taryfie</w:t>
        </w:r>
        <w:r w:rsidR="00E03C93" w:rsidRPr="00E03C93">
          <w:rPr>
            <w:webHidden/>
          </w:rPr>
          <w:tab/>
        </w:r>
        <w:r w:rsidR="00E03C93" w:rsidRPr="00E03C93">
          <w:rPr>
            <w:webHidden/>
          </w:rPr>
          <w:fldChar w:fldCharType="begin"/>
        </w:r>
        <w:r w:rsidR="00E03C93" w:rsidRPr="00E03C93">
          <w:rPr>
            <w:webHidden/>
          </w:rPr>
          <w:instrText xml:space="preserve"> PAGEREF _Toc95895307 \h </w:instrText>
        </w:r>
        <w:r w:rsidR="00E03C93" w:rsidRPr="00E03C93">
          <w:rPr>
            <w:webHidden/>
          </w:rPr>
        </w:r>
        <w:r w:rsidR="00E03C93" w:rsidRPr="00E03C93">
          <w:rPr>
            <w:webHidden/>
          </w:rPr>
          <w:fldChar w:fldCharType="separate"/>
        </w:r>
        <w:r w:rsidR="008F7477">
          <w:rPr>
            <w:webHidden/>
          </w:rPr>
          <w:t>3</w:t>
        </w:r>
        <w:r w:rsidR="00E03C93" w:rsidRPr="00E03C93">
          <w:rPr>
            <w:webHidden/>
          </w:rPr>
          <w:fldChar w:fldCharType="end"/>
        </w:r>
      </w:hyperlink>
    </w:p>
    <w:p w14:paraId="0E56C730" w14:textId="77777777" w:rsidR="00E03C93" w:rsidRPr="00E03C93" w:rsidRDefault="003B56A7" w:rsidP="00E03C93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95895308" w:history="1">
        <w:r w:rsidR="00E03C93" w:rsidRPr="00E03C93">
          <w:rPr>
            <w:rStyle w:val="Hipercze"/>
          </w:rPr>
          <w:t xml:space="preserve">§ 2 </w:t>
        </w:r>
        <w:r w:rsidR="00E03C93" w:rsidRPr="00E03C9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3C93" w:rsidRPr="00E03C93">
          <w:rPr>
            <w:rStyle w:val="Hipercze"/>
          </w:rPr>
          <w:t>Opłata za przycumowania lub odcumowania statku</w:t>
        </w:r>
        <w:r w:rsidR="00E03C93" w:rsidRPr="00E03C93">
          <w:rPr>
            <w:webHidden/>
          </w:rPr>
          <w:tab/>
        </w:r>
        <w:r w:rsidR="00E03C93" w:rsidRPr="00E03C93">
          <w:rPr>
            <w:webHidden/>
          </w:rPr>
          <w:fldChar w:fldCharType="begin"/>
        </w:r>
        <w:r w:rsidR="00E03C93" w:rsidRPr="00E03C93">
          <w:rPr>
            <w:webHidden/>
          </w:rPr>
          <w:instrText xml:space="preserve"> PAGEREF _Toc95895308 \h </w:instrText>
        </w:r>
        <w:r w:rsidR="00E03C93" w:rsidRPr="00E03C93">
          <w:rPr>
            <w:webHidden/>
          </w:rPr>
        </w:r>
        <w:r w:rsidR="00E03C93" w:rsidRPr="00E03C93">
          <w:rPr>
            <w:webHidden/>
          </w:rPr>
          <w:fldChar w:fldCharType="separate"/>
        </w:r>
        <w:r w:rsidR="008F7477">
          <w:rPr>
            <w:webHidden/>
          </w:rPr>
          <w:t>3</w:t>
        </w:r>
        <w:r w:rsidR="00E03C93" w:rsidRPr="00E03C93">
          <w:rPr>
            <w:webHidden/>
          </w:rPr>
          <w:fldChar w:fldCharType="end"/>
        </w:r>
      </w:hyperlink>
    </w:p>
    <w:p w14:paraId="32244485" w14:textId="77777777" w:rsidR="00E03C93" w:rsidRPr="00E03C93" w:rsidRDefault="003B56A7" w:rsidP="00E03C93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95895309" w:history="1">
        <w:r w:rsidR="00E03C93" w:rsidRPr="00E03C93">
          <w:rPr>
            <w:rStyle w:val="Hipercze"/>
          </w:rPr>
          <w:t xml:space="preserve">§ 3 </w:t>
        </w:r>
        <w:r w:rsidR="00E03C93" w:rsidRPr="00E03C9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3C93" w:rsidRPr="00E03C93">
          <w:rPr>
            <w:rStyle w:val="Hipercze"/>
          </w:rPr>
          <w:t>Opłaty za wyładunek lub załadunek</w:t>
        </w:r>
        <w:r w:rsidR="00E03C93" w:rsidRPr="00E03C93">
          <w:rPr>
            <w:webHidden/>
          </w:rPr>
          <w:tab/>
        </w:r>
        <w:r w:rsidR="00E03C93" w:rsidRPr="00E03C93">
          <w:rPr>
            <w:webHidden/>
          </w:rPr>
          <w:fldChar w:fldCharType="begin"/>
        </w:r>
        <w:r w:rsidR="00E03C93" w:rsidRPr="00E03C93">
          <w:rPr>
            <w:webHidden/>
          </w:rPr>
          <w:instrText xml:space="preserve"> PAGEREF _Toc95895309 \h </w:instrText>
        </w:r>
        <w:r w:rsidR="00E03C93" w:rsidRPr="00E03C93">
          <w:rPr>
            <w:webHidden/>
          </w:rPr>
        </w:r>
        <w:r w:rsidR="00E03C93" w:rsidRPr="00E03C93">
          <w:rPr>
            <w:webHidden/>
          </w:rPr>
          <w:fldChar w:fldCharType="separate"/>
        </w:r>
        <w:r w:rsidR="008F7477">
          <w:rPr>
            <w:webHidden/>
          </w:rPr>
          <w:t>4</w:t>
        </w:r>
        <w:r w:rsidR="00E03C93" w:rsidRPr="00E03C93">
          <w:rPr>
            <w:webHidden/>
          </w:rPr>
          <w:fldChar w:fldCharType="end"/>
        </w:r>
      </w:hyperlink>
    </w:p>
    <w:p w14:paraId="3465721E" w14:textId="77777777" w:rsidR="00E03C93" w:rsidRPr="00E03C93" w:rsidRDefault="003B56A7" w:rsidP="00E03C93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95895310" w:history="1">
        <w:r w:rsidR="00E03C93" w:rsidRPr="00E03C93">
          <w:rPr>
            <w:rStyle w:val="Hipercze"/>
          </w:rPr>
          <w:t xml:space="preserve">§ 4 </w:t>
        </w:r>
        <w:r w:rsidR="00E03C93" w:rsidRPr="00E03C9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3C93" w:rsidRPr="00E03C93">
          <w:rPr>
            <w:rStyle w:val="Hipercze"/>
          </w:rPr>
          <w:t>Interpretacja postanowień Taryfy</w:t>
        </w:r>
        <w:r w:rsidR="00E03C93" w:rsidRPr="00E03C93">
          <w:rPr>
            <w:webHidden/>
          </w:rPr>
          <w:tab/>
        </w:r>
        <w:r w:rsidR="00E03C93" w:rsidRPr="00E03C93">
          <w:rPr>
            <w:webHidden/>
          </w:rPr>
          <w:fldChar w:fldCharType="begin"/>
        </w:r>
        <w:r w:rsidR="00E03C93" w:rsidRPr="00E03C93">
          <w:rPr>
            <w:webHidden/>
          </w:rPr>
          <w:instrText xml:space="preserve"> PAGEREF _Toc95895310 \h </w:instrText>
        </w:r>
        <w:r w:rsidR="00E03C93" w:rsidRPr="00E03C93">
          <w:rPr>
            <w:webHidden/>
          </w:rPr>
        </w:r>
        <w:r w:rsidR="00E03C93" w:rsidRPr="00E03C93">
          <w:rPr>
            <w:webHidden/>
          </w:rPr>
          <w:fldChar w:fldCharType="separate"/>
        </w:r>
        <w:r w:rsidR="008F7477">
          <w:rPr>
            <w:webHidden/>
          </w:rPr>
          <w:t>5</w:t>
        </w:r>
        <w:r w:rsidR="00E03C93" w:rsidRPr="00E03C93">
          <w:rPr>
            <w:webHidden/>
          </w:rPr>
          <w:fldChar w:fldCharType="end"/>
        </w:r>
      </w:hyperlink>
    </w:p>
    <w:p w14:paraId="05B78B93" w14:textId="2A34745C" w:rsidR="00D022CD" w:rsidRPr="000C6631" w:rsidRDefault="00D022CD" w:rsidP="00F2546D">
      <w:pPr>
        <w:autoSpaceDE w:val="0"/>
        <w:autoSpaceDN w:val="0"/>
        <w:adjustRightInd w:val="0"/>
        <w:spacing w:after="120"/>
        <w:rPr>
          <w:rFonts w:asciiTheme="majorHAnsi" w:hAnsiTheme="majorHAnsi" w:cstheme="majorHAnsi"/>
          <w:color w:val="000000"/>
          <w:sz w:val="20"/>
          <w:szCs w:val="20"/>
        </w:rPr>
      </w:pPr>
      <w:r w:rsidRPr="00E03C93">
        <w:rPr>
          <w:rFonts w:ascii="Calibri Light" w:hAnsi="Calibri Light" w:cs="Calibri Light"/>
          <w:color w:val="000000"/>
          <w:sz w:val="22"/>
          <w:szCs w:val="22"/>
        </w:rPr>
        <w:fldChar w:fldCharType="end"/>
      </w:r>
    </w:p>
    <w:p w14:paraId="6D723BD3" w14:textId="77777777" w:rsidR="00D022CD" w:rsidRPr="000C6631" w:rsidRDefault="00D022CD" w:rsidP="00D95993">
      <w:pPr>
        <w:autoSpaceDE w:val="0"/>
        <w:autoSpaceDN w:val="0"/>
        <w:adjustRightInd w:val="0"/>
        <w:spacing w:after="120"/>
        <w:rPr>
          <w:rFonts w:asciiTheme="majorHAnsi" w:hAnsiTheme="majorHAnsi" w:cstheme="majorHAnsi"/>
          <w:color w:val="000000"/>
          <w:sz w:val="20"/>
          <w:szCs w:val="20"/>
        </w:rPr>
      </w:pPr>
    </w:p>
    <w:p w14:paraId="526DFB0C" w14:textId="77777777" w:rsidR="00D022CD" w:rsidRPr="00D95993" w:rsidRDefault="00D022CD" w:rsidP="00D95993">
      <w:pPr>
        <w:autoSpaceDE w:val="0"/>
        <w:autoSpaceDN w:val="0"/>
        <w:adjustRightInd w:val="0"/>
        <w:spacing w:after="120"/>
        <w:rPr>
          <w:rFonts w:asciiTheme="majorHAnsi" w:hAnsiTheme="majorHAnsi" w:cstheme="majorHAnsi"/>
          <w:color w:val="000000"/>
          <w:sz w:val="18"/>
          <w:szCs w:val="18"/>
        </w:rPr>
      </w:pPr>
    </w:p>
    <w:p w14:paraId="6044DCB1" w14:textId="77777777" w:rsidR="00D022CD" w:rsidRPr="005C18C3" w:rsidRDefault="00D022CD" w:rsidP="00316697">
      <w:pPr>
        <w:autoSpaceDE w:val="0"/>
        <w:autoSpaceDN w:val="0"/>
        <w:adjustRightInd w:val="0"/>
        <w:spacing w:after="120"/>
        <w:rPr>
          <w:rFonts w:asciiTheme="majorHAnsi" w:hAnsiTheme="majorHAnsi" w:cstheme="majorHAnsi"/>
          <w:color w:val="000000"/>
          <w:sz w:val="20"/>
          <w:szCs w:val="20"/>
        </w:rPr>
      </w:pPr>
    </w:p>
    <w:p w14:paraId="619F7BF9" w14:textId="77777777" w:rsidR="00851254" w:rsidRDefault="00851254" w:rsidP="00C71142">
      <w:pPr>
        <w:pStyle w:val="Nagwek1"/>
        <w:spacing w:after="120"/>
        <w:ind w:left="0" w:firstLine="0"/>
        <w:jc w:val="center"/>
        <w:rPr>
          <w:rFonts w:asciiTheme="majorHAnsi" w:hAnsiTheme="majorHAnsi" w:cstheme="majorHAnsi"/>
          <w:sz w:val="20"/>
          <w:szCs w:val="20"/>
        </w:rPr>
      </w:pPr>
    </w:p>
    <w:p w14:paraId="2A5CA528" w14:textId="77777777" w:rsidR="00986518" w:rsidRDefault="00D022CD" w:rsidP="00C71142">
      <w:pPr>
        <w:pStyle w:val="Nagwek1"/>
        <w:spacing w:after="120"/>
        <w:ind w:left="0" w:firstLine="0"/>
        <w:jc w:val="center"/>
      </w:pPr>
      <w:r w:rsidRPr="000F2BF0">
        <w:br w:type="page"/>
      </w:r>
    </w:p>
    <w:p w14:paraId="4CD34A44" w14:textId="4F45F409" w:rsidR="00D022CD" w:rsidRDefault="00D022CD" w:rsidP="00276DF4">
      <w:pPr>
        <w:pStyle w:val="Nagwek1"/>
        <w:ind w:left="0" w:firstLine="0"/>
        <w:jc w:val="center"/>
        <w:rPr>
          <w:rFonts w:asciiTheme="majorHAnsi" w:hAnsiTheme="majorHAnsi" w:cstheme="majorHAnsi"/>
          <w:b/>
          <w:bCs/>
          <w:color w:val="4472C4" w:themeColor="accent1"/>
          <w:sz w:val="20"/>
          <w:szCs w:val="20"/>
        </w:rPr>
      </w:pPr>
      <w:bookmarkStart w:id="1" w:name="_Toc95895307"/>
      <w:r w:rsidRPr="007E0320">
        <w:rPr>
          <w:rFonts w:asciiTheme="majorHAnsi" w:hAnsiTheme="majorHAnsi" w:cstheme="majorHAnsi"/>
          <w:b/>
          <w:bCs/>
          <w:color w:val="4472C4" w:themeColor="accent1"/>
          <w:sz w:val="20"/>
          <w:szCs w:val="20"/>
        </w:rPr>
        <w:lastRenderedPageBreak/>
        <w:t xml:space="preserve">§ 1 </w:t>
      </w:r>
      <w:r w:rsidR="005B075C">
        <w:rPr>
          <w:rFonts w:asciiTheme="majorHAnsi" w:hAnsiTheme="majorHAnsi" w:cstheme="majorHAnsi"/>
          <w:b/>
          <w:bCs/>
          <w:color w:val="4472C4" w:themeColor="accent1"/>
          <w:sz w:val="20"/>
          <w:szCs w:val="20"/>
        </w:rPr>
        <w:tab/>
      </w:r>
      <w:r w:rsidR="00932ED9">
        <w:rPr>
          <w:rFonts w:asciiTheme="majorHAnsi" w:hAnsiTheme="majorHAnsi" w:cstheme="majorHAnsi"/>
          <w:b/>
          <w:bCs/>
          <w:color w:val="4472C4" w:themeColor="accent1"/>
          <w:sz w:val="20"/>
          <w:szCs w:val="20"/>
        </w:rPr>
        <w:t>Sposób obliczania opłat</w:t>
      </w:r>
      <w:r w:rsidR="003E06EF">
        <w:rPr>
          <w:rFonts w:asciiTheme="majorHAnsi" w:hAnsiTheme="majorHAnsi" w:cstheme="majorHAnsi"/>
          <w:b/>
          <w:bCs/>
          <w:color w:val="4472C4" w:themeColor="accent1"/>
          <w:sz w:val="20"/>
          <w:szCs w:val="20"/>
        </w:rPr>
        <w:t xml:space="preserve"> wymienionych w Taryfie</w:t>
      </w:r>
      <w:bookmarkEnd w:id="1"/>
    </w:p>
    <w:p w14:paraId="5E2F1393" w14:textId="77777777" w:rsidR="00B43340" w:rsidRPr="00B43340" w:rsidRDefault="00B43340" w:rsidP="00276DF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</w:rPr>
      </w:pPr>
    </w:p>
    <w:p w14:paraId="55834575" w14:textId="5FE2ADEA" w:rsidR="00616E21" w:rsidRDefault="00616E21" w:rsidP="00C07DBF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616E21">
        <w:rPr>
          <w:rFonts w:asciiTheme="majorHAnsi" w:hAnsiTheme="majorHAnsi" w:cstheme="majorHAnsi"/>
          <w:color w:val="000000"/>
          <w:sz w:val="20"/>
          <w:szCs w:val="20"/>
        </w:rPr>
        <w:t>Do usług objętych niniejszą taryf</w:t>
      </w:r>
      <w:r w:rsidR="005D64B5">
        <w:rPr>
          <w:rFonts w:asciiTheme="majorHAnsi" w:hAnsiTheme="majorHAnsi" w:cstheme="majorHAnsi"/>
          <w:color w:val="000000"/>
          <w:sz w:val="20"/>
          <w:szCs w:val="20"/>
        </w:rPr>
        <w:t>ą (dalej: „</w:t>
      </w:r>
      <w:r w:rsidR="005D64B5" w:rsidRPr="00EE6830">
        <w:rPr>
          <w:rFonts w:asciiTheme="majorHAnsi" w:hAnsiTheme="majorHAnsi" w:cstheme="majorHAnsi"/>
          <w:b/>
          <w:bCs/>
          <w:color w:val="000000"/>
          <w:sz w:val="20"/>
          <w:szCs w:val="20"/>
        </w:rPr>
        <w:t>Taryfa</w:t>
      </w:r>
      <w:r w:rsidR="005D64B5">
        <w:rPr>
          <w:rFonts w:asciiTheme="majorHAnsi" w:hAnsiTheme="majorHAnsi" w:cstheme="majorHAnsi"/>
          <w:color w:val="000000"/>
          <w:sz w:val="20"/>
          <w:szCs w:val="20"/>
        </w:rPr>
        <w:t>”)</w:t>
      </w:r>
      <w:r w:rsidRPr="00616E21">
        <w:rPr>
          <w:rFonts w:asciiTheme="majorHAnsi" w:hAnsiTheme="majorHAnsi" w:cstheme="majorHAnsi"/>
          <w:color w:val="000000"/>
          <w:sz w:val="20"/>
          <w:szCs w:val="20"/>
        </w:rPr>
        <w:t xml:space="preserve"> stosuje się postanowienia „</w:t>
      </w:r>
      <w:r w:rsidRPr="00616E21">
        <w:rPr>
          <w:rFonts w:asciiTheme="majorHAnsi" w:hAnsiTheme="majorHAnsi" w:cstheme="majorHAnsi"/>
          <w:i/>
          <w:iCs/>
          <w:color w:val="000000"/>
          <w:sz w:val="20"/>
          <w:szCs w:val="20"/>
        </w:rPr>
        <w:t>Ogólnych warunków świadczenia usług</w:t>
      </w:r>
      <w:r w:rsidR="005D64B5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</w:t>
      </w:r>
      <w:r w:rsidR="00F37CC0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w </w:t>
      </w:r>
      <w:r w:rsidR="007125C8">
        <w:rPr>
          <w:rFonts w:asciiTheme="majorHAnsi" w:hAnsiTheme="majorHAnsi" w:cstheme="majorHAnsi"/>
          <w:i/>
          <w:iCs/>
          <w:color w:val="000000"/>
          <w:sz w:val="20"/>
          <w:szCs w:val="20"/>
        </w:rPr>
        <w:t>t</w:t>
      </w:r>
      <w:r w:rsidR="00F37CC0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erminalu </w:t>
      </w:r>
      <w:r w:rsidR="007125C8">
        <w:rPr>
          <w:rFonts w:asciiTheme="majorHAnsi" w:hAnsiTheme="majorHAnsi" w:cstheme="majorHAnsi"/>
          <w:i/>
          <w:iCs/>
          <w:color w:val="000000"/>
          <w:sz w:val="20"/>
          <w:szCs w:val="20"/>
        </w:rPr>
        <w:t>p</w:t>
      </w:r>
      <w:r w:rsidR="00F37CC0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romowym </w:t>
      </w:r>
      <w:r w:rsidR="007125C8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w </w:t>
      </w:r>
      <w:r w:rsidR="00F37CC0">
        <w:rPr>
          <w:rFonts w:asciiTheme="majorHAnsi" w:hAnsiTheme="majorHAnsi" w:cstheme="majorHAnsi"/>
          <w:i/>
          <w:iCs/>
          <w:color w:val="000000"/>
          <w:sz w:val="20"/>
          <w:szCs w:val="20"/>
        </w:rPr>
        <w:t>Świnoujści</w:t>
      </w:r>
      <w:r w:rsidR="007125C8">
        <w:rPr>
          <w:rFonts w:asciiTheme="majorHAnsi" w:hAnsiTheme="majorHAnsi" w:cstheme="majorHAnsi"/>
          <w:i/>
          <w:iCs/>
          <w:color w:val="000000"/>
          <w:sz w:val="20"/>
          <w:szCs w:val="20"/>
        </w:rPr>
        <w:t>u</w:t>
      </w:r>
      <w:r>
        <w:rPr>
          <w:rFonts w:asciiTheme="majorHAnsi" w:hAnsiTheme="majorHAnsi" w:cstheme="majorHAnsi"/>
          <w:color w:val="000000"/>
          <w:sz w:val="20"/>
          <w:szCs w:val="20"/>
        </w:rPr>
        <w:t>” w ich aktualnej w dacie zastosowania wersji.</w:t>
      </w:r>
      <w:r w:rsidR="001E6A2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14:paraId="178FADB6" w14:textId="51DD1349" w:rsidR="00EA5B23" w:rsidRPr="00BD694A" w:rsidRDefault="00EA5B23" w:rsidP="00C07DBF">
      <w:pPr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BD694A">
        <w:rPr>
          <w:rFonts w:asciiTheme="majorHAnsi" w:hAnsiTheme="majorHAnsi" w:cstheme="majorHAnsi"/>
          <w:color w:val="000000"/>
          <w:sz w:val="20"/>
          <w:szCs w:val="20"/>
        </w:rPr>
        <w:t xml:space="preserve">Stawki </w:t>
      </w:r>
      <w:r w:rsidR="00EE6830" w:rsidRPr="00EE6830">
        <w:rPr>
          <w:rFonts w:asciiTheme="majorHAnsi" w:hAnsiTheme="majorHAnsi" w:cstheme="majorHAnsi"/>
          <w:color w:val="000000"/>
          <w:sz w:val="20"/>
          <w:szCs w:val="20"/>
        </w:rPr>
        <w:t>wymienion</w:t>
      </w:r>
      <w:r w:rsidR="00EE6830">
        <w:rPr>
          <w:rFonts w:asciiTheme="majorHAnsi" w:hAnsiTheme="majorHAnsi" w:cstheme="majorHAnsi"/>
          <w:color w:val="000000"/>
          <w:sz w:val="20"/>
          <w:szCs w:val="20"/>
        </w:rPr>
        <w:t>ych</w:t>
      </w:r>
      <w:r w:rsidR="00EE6830" w:rsidRPr="00EE6830">
        <w:rPr>
          <w:rFonts w:asciiTheme="majorHAnsi" w:hAnsiTheme="majorHAnsi" w:cstheme="majorHAnsi"/>
          <w:color w:val="000000"/>
          <w:sz w:val="20"/>
          <w:szCs w:val="20"/>
        </w:rPr>
        <w:t xml:space="preserve"> w Taryfie opłat</w:t>
      </w:r>
      <w:r w:rsidRPr="001F644A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BD694A">
        <w:rPr>
          <w:rFonts w:asciiTheme="majorHAnsi" w:hAnsiTheme="majorHAnsi" w:cstheme="majorHAnsi"/>
          <w:color w:val="000000"/>
          <w:sz w:val="20"/>
          <w:szCs w:val="20"/>
        </w:rPr>
        <w:t>wyraż</w:t>
      </w:r>
      <w:r>
        <w:rPr>
          <w:rFonts w:asciiTheme="majorHAnsi" w:hAnsiTheme="majorHAnsi" w:cstheme="majorHAnsi"/>
          <w:color w:val="000000"/>
          <w:sz w:val="20"/>
          <w:szCs w:val="20"/>
        </w:rPr>
        <w:t>one są</w:t>
      </w:r>
      <w:r w:rsidRPr="00BD694A">
        <w:rPr>
          <w:rFonts w:asciiTheme="majorHAnsi" w:hAnsiTheme="majorHAnsi" w:cstheme="majorHAnsi"/>
          <w:color w:val="000000"/>
          <w:sz w:val="20"/>
          <w:szCs w:val="20"/>
        </w:rPr>
        <w:t xml:space="preserve"> w złotych polskich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(PLN)</w:t>
      </w:r>
      <w:r w:rsidRPr="00BD694A"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14:paraId="5ACC769C" w14:textId="645A6922" w:rsidR="00EA5B23" w:rsidRPr="00BD694A" w:rsidRDefault="00EA5B23" w:rsidP="00C07DBF">
      <w:pPr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BD694A">
        <w:rPr>
          <w:rFonts w:asciiTheme="majorHAnsi" w:hAnsiTheme="majorHAnsi" w:cstheme="majorHAnsi"/>
          <w:color w:val="000000"/>
          <w:sz w:val="20"/>
          <w:szCs w:val="20"/>
        </w:rPr>
        <w:t xml:space="preserve">Stawki </w:t>
      </w:r>
      <w:r w:rsidR="00EE6830" w:rsidRPr="00EE6830">
        <w:rPr>
          <w:rFonts w:asciiTheme="majorHAnsi" w:hAnsiTheme="majorHAnsi" w:cstheme="majorHAnsi"/>
          <w:color w:val="000000"/>
          <w:sz w:val="20"/>
          <w:szCs w:val="20"/>
        </w:rPr>
        <w:t>wymienionych w Taryfie opłat</w:t>
      </w:r>
      <w:r w:rsidRPr="002C4DBE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BD694A">
        <w:rPr>
          <w:rFonts w:asciiTheme="majorHAnsi" w:hAnsiTheme="majorHAnsi" w:cstheme="majorHAnsi"/>
          <w:color w:val="000000"/>
          <w:sz w:val="20"/>
          <w:szCs w:val="20"/>
        </w:rPr>
        <w:t>są wyrażone w wartości netto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– tj. bez podatku od towarów i usług</w:t>
      </w:r>
      <w:r w:rsidRPr="00BD694A">
        <w:rPr>
          <w:rFonts w:asciiTheme="majorHAnsi" w:hAnsiTheme="majorHAnsi" w:cstheme="majorHAnsi"/>
          <w:color w:val="000000"/>
          <w:sz w:val="20"/>
          <w:szCs w:val="20"/>
        </w:rPr>
        <w:t xml:space="preserve">. Do </w:t>
      </w:r>
      <w:r w:rsidR="009B3386">
        <w:rPr>
          <w:rFonts w:asciiTheme="majorHAnsi" w:hAnsiTheme="majorHAnsi" w:cstheme="majorHAnsi"/>
          <w:color w:val="000000"/>
          <w:sz w:val="20"/>
          <w:szCs w:val="20"/>
        </w:rPr>
        <w:t xml:space="preserve">stawek </w:t>
      </w:r>
      <w:r w:rsidR="00EE6830" w:rsidRPr="00EE6830">
        <w:rPr>
          <w:rFonts w:asciiTheme="majorHAnsi" w:hAnsiTheme="majorHAnsi" w:cstheme="majorHAnsi"/>
          <w:color w:val="000000"/>
          <w:sz w:val="20"/>
          <w:szCs w:val="20"/>
        </w:rPr>
        <w:t xml:space="preserve">wymienionych w Taryfie opłat </w:t>
      </w:r>
      <w:r w:rsidR="00EE6830">
        <w:rPr>
          <w:rFonts w:asciiTheme="majorHAnsi" w:hAnsiTheme="majorHAnsi" w:cstheme="majorHAnsi"/>
          <w:color w:val="000000"/>
          <w:sz w:val="20"/>
          <w:szCs w:val="20"/>
        </w:rPr>
        <w:t>z</w:t>
      </w:r>
      <w:r w:rsidRPr="00BD694A">
        <w:rPr>
          <w:rFonts w:asciiTheme="majorHAnsi" w:hAnsiTheme="majorHAnsi" w:cstheme="majorHAnsi"/>
          <w:color w:val="000000"/>
          <w:sz w:val="20"/>
          <w:szCs w:val="20"/>
        </w:rPr>
        <w:t xml:space="preserve">ostanie doliczony podatek </w:t>
      </w:r>
      <w:r>
        <w:rPr>
          <w:rFonts w:asciiTheme="majorHAnsi" w:hAnsiTheme="majorHAnsi" w:cstheme="majorHAnsi"/>
          <w:color w:val="000000"/>
          <w:sz w:val="20"/>
          <w:szCs w:val="20"/>
        </w:rPr>
        <w:t>od towarów i usług</w:t>
      </w:r>
      <w:r w:rsidRPr="00BD694A">
        <w:rPr>
          <w:rFonts w:asciiTheme="majorHAnsi" w:hAnsiTheme="majorHAnsi" w:cstheme="majorHAnsi"/>
          <w:color w:val="000000"/>
          <w:sz w:val="20"/>
          <w:szCs w:val="20"/>
        </w:rPr>
        <w:t xml:space="preserve"> zgodnie z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przepisami prawa</w:t>
      </w:r>
      <w:r w:rsidRPr="00BD694A">
        <w:rPr>
          <w:rFonts w:asciiTheme="majorHAnsi" w:hAnsiTheme="majorHAnsi" w:cstheme="majorHAnsi"/>
          <w:color w:val="000000"/>
          <w:sz w:val="20"/>
          <w:szCs w:val="20"/>
        </w:rPr>
        <w:t xml:space="preserve"> obowiązującymi w dniu wykonania usługi. </w:t>
      </w:r>
    </w:p>
    <w:p w14:paraId="0B8FAF41" w14:textId="7D1993E0" w:rsidR="00C74831" w:rsidRDefault="00EA5B23" w:rsidP="00C07DBF">
      <w:pPr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BD694A">
        <w:rPr>
          <w:rFonts w:asciiTheme="majorHAnsi" w:hAnsiTheme="majorHAnsi" w:cstheme="majorHAnsi"/>
          <w:color w:val="000000"/>
          <w:sz w:val="20"/>
          <w:szCs w:val="20"/>
        </w:rPr>
        <w:t xml:space="preserve">Minimalna wysokość </w:t>
      </w:r>
      <w:r w:rsidR="00EE6830" w:rsidRPr="00EE6830">
        <w:rPr>
          <w:rFonts w:asciiTheme="majorHAnsi" w:hAnsiTheme="majorHAnsi" w:cstheme="majorHAnsi"/>
          <w:color w:val="000000"/>
          <w:sz w:val="20"/>
          <w:szCs w:val="20"/>
        </w:rPr>
        <w:t>wymienion</w:t>
      </w:r>
      <w:r w:rsidR="00972875">
        <w:rPr>
          <w:rFonts w:asciiTheme="majorHAnsi" w:hAnsiTheme="majorHAnsi" w:cstheme="majorHAnsi"/>
          <w:color w:val="000000"/>
          <w:sz w:val="20"/>
          <w:szCs w:val="20"/>
        </w:rPr>
        <w:t>ej</w:t>
      </w:r>
      <w:r w:rsidR="00EE6830" w:rsidRPr="00EE6830">
        <w:rPr>
          <w:rFonts w:asciiTheme="majorHAnsi" w:hAnsiTheme="majorHAnsi" w:cstheme="majorHAnsi"/>
          <w:color w:val="000000"/>
          <w:sz w:val="20"/>
          <w:szCs w:val="20"/>
        </w:rPr>
        <w:t xml:space="preserve"> w Taryfie opłat</w:t>
      </w:r>
      <w:r w:rsidR="00972875">
        <w:rPr>
          <w:rFonts w:asciiTheme="majorHAnsi" w:hAnsiTheme="majorHAnsi" w:cstheme="majorHAnsi"/>
          <w:color w:val="000000"/>
          <w:sz w:val="20"/>
          <w:szCs w:val="20"/>
        </w:rPr>
        <w:t>y</w:t>
      </w:r>
      <w:r w:rsidR="00C74831" w:rsidRPr="00C74831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BD694A">
        <w:rPr>
          <w:rFonts w:asciiTheme="majorHAnsi" w:hAnsiTheme="majorHAnsi" w:cstheme="majorHAnsi"/>
          <w:color w:val="000000"/>
          <w:sz w:val="20"/>
          <w:szCs w:val="20"/>
        </w:rPr>
        <w:t xml:space="preserve">wynosi </w:t>
      </w:r>
      <w:r w:rsidR="00665F94">
        <w:rPr>
          <w:rFonts w:asciiTheme="majorHAnsi" w:hAnsiTheme="majorHAnsi" w:cstheme="majorHAnsi"/>
          <w:color w:val="000000"/>
          <w:sz w:val="20"/>
          <w:szCs w:val="20"/>
        </w:rPr>
        <w:t>40</w:t>
      </w:r>
      <w:r>
        <w:rPr>
          <w:rFonts w:asciiTheme="majorHAnsi" w:hAnsiTheme="majorHAnsi" w:cstheme="majorHAnsi"/>
          <w:color w:val="000000"/>
          <w:sz w:val="20"/>
          <w:szCs w:val="20"/>
        </w:rPr>
        <w:t>,</w:t>
      </w:r>
      <w:r w:rsidRPr="00BD694A">
        <w:rPr>
          <w:rFonts w:asciiTheme="majorHAnsi" w:hAnsiTheme="majorHAnsi" w:cstheme="majorHAnsi"/>
          <w:color w:val="000000"/>
          <w:sz w:val="20"/>
          <w:szCs w:val="20"/>
        </w:rPr>
        <w:t xml:space="preserve">00 PLN. </w:t>
      </w:r>
    </w:p>
    <w:p w14:paraId="510E27B6" w14:textId="347B53F7" w:rsidR="00BC5D6C" w:rsidRDefault="00932ED9" w:rsidP="00C07DBF">
      <w:pPr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C74831">
        <w:rPr>
          <w:rFonts w:asciiTheme="majorHAnsi" w:hAnsiTheme="majorHAnsi" w:cstheme="majorHAnsi"/>
          <w:color w:val="000000"/>
          <w:sz w:val="20"/>
          <w:szCs w:val="20"/>
        </w:rPr>
        <w:t xml:space="preserve">Wszelkie </w:t>
      </w:r>
      <w:r w:rsidR="008417D3">
        <w:rPr>
          <w:rFonts w:asciiTheme="majorHAnsi" w:hAnsiTheme="majorHAnsi" w:cstheme="majorHAnsi"/>
          <w:color w:val="000000"/>
          <w:sz w:val="20"/>
          <w:szCs w:val="20"/>
        </w:rPr>
        <w:t xml:space="preserve">wymienione w Taryfie </w:t>
      </w:r>
      <w:r w:rsidRPr="00C74831">
        <w:rPr>
          <w:rFonts w:asciiTheme="majorHAnsi" w:hAnsiTheme="majorHAnsi" w:cstheme="majorHAnsi"/>
          <w:color w:val="000000"/>
          <w:sz w:val="20"/>
          <w:szCs w:val="20"/>
        </w:rPr>
        <w:t>opłaty</w:t>
      </w:r>
      <w:r w:rsidR="00EE6830">
        <w:rPr>
          <w:rFonts w:asciiTheme="majorHAnsi" w:hAnsiTheme="majorHAnsi" w:cstheme="majorHAnsi"/>
          <w:color w:val="000000"/>
          <w:sz w:val="20"/>
          <w:szCs w:val="20"/>
        </w:rPr>
        <w:t xml:space="preserve"> za usługi</w:t>
      </w:r>
      <w:r w:rsidRPr="00C74831">
        <w:rPr>
          <w:rFonts w:asciiTheme="majorHAnsi" w:hAnsiTheme="majorHAnsi" w:cstheme="majorHAnsi"/>
          <w:color w:val="000000"/>
          <w:sz w:val="20"/>
          <w:szCs w:val="20"/>
        </w:rPr>
        <w:t xml:space="preserve"> wyrażone w procentach pobiera się od opłat zasadniczych (podstawowych).</w:t>
      </w:r>
    </w:p>
    <w:p w14:paraId="7044F3A3" w14:textId="5531D71D" w:rsidR="00BC5D6C" w:rsidRDefault="00932ED9" w:rsidP="00C07DBF">
      <w:pPr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BC5D6C">
        <w:rPr>
          <w:rFonts w:asciiTheme="majorHAnsi" w:hAnsiTheme="majorHAnsi" w:cstheme="majorHAnsi"/>
          <w:color w:val="000000"/>
          <w:sz w:val="20"/>
          <w:szCs w:val="20"/>
        </w:rPr>
        <w:t xml:space="preserve">Dla </w:t>
      </w:r>
      <w:r w:rsidR="00BC5D6C">
        <w:rPr>
          <w:rFonts w:asciiTheme="majorHAnsi" w:hAnsiTheme="majorHAnsi" w:cstheme="majorHAnsi"/>
          <w:color w:val="000000"/>
          <w:sz w:val="20"/>
          <w:szCs w:val="20"/>
        </w:rPr>
        <w:t xml:space="preserve">celu </w:t>
      </w:r>
      <w:r w:rsidRPr="00BC5D6C">
        <w:rPr>
          <w:rFonts w:asciiTheme="majorHAnsi" w:hAnsiTheme="majorHAnsi" w:cstheme="majorHAnsi"/>
          <w:color w:val="000000"/>
          <w:sz w:val="20"/>
          <w:szCs w:val="20"/>
        </w:rPr>
        <w:t xml:space="preserve">obliczenia </w:t>
      </w:r>
      <w:r w:rsidR="00972875" w:rsidRPr="00972875">
        <w:rPr>
          <w:rFonts w:asciiTheme="majorHAnsi" w:hAnsiTheme="majorHAnsi" w:cstheme="majorHAnsi"/>
          <w:color w:val="000000"/>
          <w:sz w:val="20"/>
          <w:szCs w:val="20"/>
        </w:rPr>
        <w:t>wymienionych w Taryfie opłat</w:t>
      </w:r>
      <w:r w:rsidRPr="00BC5D6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7C34D9">
        <w:rPr>
          <w:rFonts w:asciiTheme="majorHAnsi" w:hAnsiTheme="majorHAnsi" w:cstheme="majorHAnsi"/>
          <w:color w:val="000000"/>
          <w:sz w:val="20"/>
          <w:szCs w:val="20"/>
        </w:rPr>
        <w:t>masę</w:t>
      </w:r>
      <w:r w:rsidRPr="00BC5D6C">
        <w:rPr>
          <w:rFonts w:asciiTheme="majorHAnsi" w:hAnsiTheme="majorHAnsi" w:cstheme="majorHAnsi"/>
          <w:color w:val="000000"/>
          <w:sz w:val="20"/>
          <w:szCs w:val="20"/>
        </w:rPr>
        <w:t xml:space="preserve"> ładunku zaokrągla się wzwyż do pełnych 100 kg.</w:t>
      </w:r>
    </w:p>
    <w:p w14:paraId="2FEC7C6B" w14:textId="7A8B81D7" w:rsidR="00BC5D6C" w:rsidRDefault="00EC5120" w:rsidP="00C07DBF">
      <w:pPr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EC5120">
        <w:rPr>
          <w:rFonts w:asciiTheme="majorHAnsi" w:hAnsiTheme="majorHAnsi" w:cstheme="majorHAnsi"/>
          <w:color w:val="000000"/>
          <w:sz w:val="20"/>
          <w:szCs w:val="20"/>
        </w:rPr>
        <w:t>Podstawą do obliczenia wymienionych w Taryfie opłat dla ładunków drobnicowych w obrocie morskim jest masa ładunku podana w zgłoszeniu wejścia statku IMO lub zgłoszeniu wyjścia statku IMO</w:t>
      </w:r>
      <w:r w:rsidR="00762615">
        <w:rPr>
          <w:rFonts w:asciiTheme="majorHAnsi" w:hAnsiTheme="majorHAnsi" w:cstheme="majorHAnsi"/>
          <w:color w:val="000000"/>
          <w:sz w:val="20"/>
          <w:szCs w:val="20"/>
        </w:rPr>
        <w:t xml:space="preserve">, która musi być zgodna z masą ładunku </w:t>
      </w:r>
      <w:r w:rsidRPr="00EC5120">
        <w:rPr>
          <w:rFonts w:asciiTheme="majorHAnsi" w:hAnsiTheme="majorHAnsi" w:cstheme="majorHAnsi"/>
          <w:color w:val="000000"/>
          <w:sz w:val="20"/>
          <w:szCs w:val="20"/>
        </w:rPr>
        <w:t>podaną w manifeście ładunkowym</w:t>
      </w:r>
      <w:r w:rsidR="00762615">
        <w:rPr>
          <w:rFonts w:asciiTheme="majorHAnsi" w:hAnsiTheme="majorHAnsi" w:cstheme="majorHAnsi"/>
          <w:color w:val="000000"/>
          <w:sz w:val="20"/>
          <w:szCs w:val="20"/>
        </w:rPr>
        <w:t>.</w:t>
      </w:r>
      <w:r w:rsidRPr="00EC512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7C34D9">
        <w:rPr>
          <w:rFonts w:asciiTheme="majorHAnsi" w:hAnsiTheme="majorHAnsi" w:cstheme="majorHAnsi"/>
          <w:color w:val="000000"/>
          <w:sz w:val="20"/>
          <w:szCs w:val="20"/>
        </w:rPr>
        <w:t>W przypadku rozbieżności pomiędzy treści</w:t>
      </w:r>
      <w:r w:rsidR="00B1648E">
        <w:rPr>
          <w:rFonts w:asciiTheme="majorHAnsi" w:hAnsiTheme="majorHAnsi" w:cstheme="majorHAnsi"/>
          <w:color w:val="000000"/>
          <w:sz w:val="20"/>
          <w:szCs w:val="20"/>
        </w:rPr>
        <w:t>ą</w:t>
      </w:r>
      <w:r w:rsidR="007C34D9">
        <w:rPr>
          <w:rFonts w:asciiTheme="majorHAnsi" w:hAnsiTheme="majorHAnsi" w:cstheme="majorHAnsi"/>
          <w:color w:val="000000"/>
          <w:sz w:val="20"/>
          <w:szCs w:val="20"/>
        </w:rPr>
        <w:t xml:space="preserve"> dokument</w:t>
      </w:r>
      <w:r w:rsidR="00B1648E">
        <w:rPr>
          <w:rFonts w:asciiTheme="majorHAnsi" w:hAnsiTheme="majorHAnsi" w:cstheme="majorHAnsi"/>
          <w:color w:val="000000"/>
          <w:sz w:val="20"/>
          <w:szCs w:val="20"/>
        </w:rPr>
        <w:t>ów przywołanych w zdaniu poprzedzającym, dla celów zastosowania Taryfy przyjmuje się najwyższ</w:t>
      </w:r>
      <w:r w:rsidR="00452D10">
        <w:rPr>
          <w:rFonts w:asciiTheme="majorHAnsi" w:hAnsiTheme="majorHAnsi" w:cstheme="majorHAnsi"/>
          <w:color w:val="000000"/>
          <w:sz w:val="20"/>
          <w:szCs w:val="20"/>
        </w:rPr>
        <w:t>ą</w:t>
      </w:r>
      <w:r w:rsidR="00B1648E">
        <w:rPr>
          <w:rFonts w:asciiTheme="majorHAnsi" w:hAnsiTheme="majorHAnsi" w:cstheme="majorHAnsi"/>
          <w:color w:val="000000"/>
          <w:sz w:val="20"/>
          <w:szCs w:val="20"/>
        </w:rPr>
        <w:t xml:space="preserve"> masę wskazaną w treści odpowiednich dokumentów.</w:t>
      </w:r>
      <w:r w:rsidR="007C34D9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14:paraId="08655102" w14:textId="54B0FAF4" w:rsidR="00EE6830" w:rsidRPr="00E03C93" w:rsidRDefault="00972875" w:rsidP="008D756D">
      <w:pPr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D756D">
        <w:rPr>
          <w:rFonts w:asciiTheme="majorHAnsi" w:hAnsiTheme="majorHAnsi" w:cstheme="majorHAnsi"/>
          <w:color w:val="000000"/>
          <w:sz w:val="20"/>
          <w:szCs w:val="20"/>
        </w:rPr>
        <w:t>Wymienion</w:t>
      </w:r>
      <w:r w:rsidRPr="00F37CC0">
        <w:rPr>
          <w:rFonts w:asciiTheme="majorHAnsi" w:hAnsiTheme="majorHAnsi" w:cstheme="majorHAnsi"/>
          <w:color w:val="000000"/>
          <w:sz w:val="20"/>
          <w:szCs w:val="20"/>
        </w:rPr>
        <w:t>e w Taryfie opłat</w:t>
      </w:r>
      <w:r w:rsidRPr="002935F5">
        <w:rPr>
          <w:rFonts w:asciiTheme="majorHAnsi" w:hAnsiTheme="majorHAnsi" w:cstheme="majorHAnsi"/>
          <w:color w:val="000000"/>
          <w:sz w:val="20"/>
          <w:szCs w:val="20"/>
        </w:rPr>
        <w:t>y</w:t>
      </w:r>
      <w:r w:rsidR="00EE6830" w:rsidRPr="00EA291D">
        <w:rPr>
          <w:rFonts w:asciiTheme="majorHAnsi" w:hAnsiTheme="majorHAnsi" w:cstheme="majorHAnsi"/>
          <w:color w:val="000000"/>
          <w:sz w:val="20"/>
          <w:szCs w:val="20"/>
        </w:rPr>
        <w:t xml:space="preserve"> płatne są </w:t>
      </w:r>
      <w:r w:rsidR="00EE6830" w:rsidRPr="0050512D">
        <w:rPr>
          <w:rFonts w:asciiTheme="majorHAnsi" w:hAnsiTheme="majorHAnsi" w:cstheme="majorHAnsi"/>
          <w:color w:val="000000"/>
          <w:sz w:val="20"/>
          <w:szCs w:val="20"/>
        </w:rPr>
        <w:t xml:space="preserve">wyłącznie przelewem, na rachunek bankowy </w:t>
      </w:r>
      <w:proofErr w:type="spellStart"/>
      <w:r w:rsidR="00EE6830" w:rsidRPr="0050512D">
        <w:rPr>
          <w:rFonts w:asciiTheme="majorHAnsi" w:hAnsiTheme="majorHAnsi" w:cstheme="majorHAnsi"/>
          <w:color w:val="000000"/>
          <w:sz w:val="20"/>
          <w:szCs w:val="20"/>
        </w:rPr>
        <w:t>ZMPSiŚ</w:t>
      </w:r>
      <w:proofErr w:type="spellEnd"/>
      <w:r w:rsidR="00EE6830" w:rsidRPr="0050512D">
        <w:rPr>
          <w:rFonts w:asciiTheme="majorHAnsi" w:hAnsiTheme="majorHAnsi" w:cstheme="majorHAnsi"/>
          <w:color w:val="000000"/>
          <w:sz w:val="20"/>
          <w:szCs w:val="20"/>
        </w:rPr>
        <w:t xml:space="preserve"> S.A.</w:t>
      </w:r>
      <w:r w:rsidR="00EE6830" w:rsidRPr="00D74DBA">
        <w:rPr>
          <w:rFonts w:asciiTheme="majorHAnsi" w:hAnsiTheme="majorHAnsi" w:cstheme="majorHAnsi"/>
          <w:color w:val="000000"/>
          <w:sz w:val="20"/>
          <w:szCs w:val="20"/>
        </w:rPr>
        <w:t xml:space="preserve">, w terminie do 21 dni od daty wystawienia dokumentu rozliczeniowego określającego wysokość </w:t>
      </w:r>
      <w:r w:rsidR="003E06EF" w:rsidRPr="00D74DBA">
        <w:rPr>
          <w:rFonts w:asciiTheme="majorHAnsi" w:hAnsiTheme="majorHAnsi" w:cstheme="majorHAnsi"/>
          <w:color w:val="000000"/>
          <w:sz w:val="20"/>
          <w:szCs w:val="20"/>
        </w:rPr>
        <w:t xml:space="preserve">odpowiedniej </w:t>
      </w:r>
      <w:r w:rsidR="00EE6830" w:rsidRPr="00D74DBA">
        <w:rPr>
          <w:rFonts w:asciiTheme="majorHAnsi" w:hAnsiTheme="majorHAnsi" w:cstheme="majorHAnsi"/>
          <w:color w:val="000000"/>
          <w:sz w:val="20"/>
          <w:szCs w:val="20"/>
        </w:rPr>
        <w:t>opłaty</w:t>
      </w:r>
      <w:r w:rsidR="008A7D2C" w:rsidRPr="00D74DBA">
        <w:rPr>
          <w:rFonts w:asciiTheme="majorHAnsi" w:hAnsiTheme="majorHAnsi" w:cstheme="majorHAnsi"/>
          <w:color w:val="000000"/>
          <w:sz w:val="20"/>
          <w:szCs w:val="20"/>
        </w:rPr>
        <w:t xml:space="preserve"> lub</w:t>
      </w:r>
      <w:r w:rsidR="008A7D2C" w:rsidRPr="008D756D">
        <w:rPr>
          <w:rFonts w:asciiTheme="majorHAnsi" w:hAnsiTheme="majorHAnsi" w:cstheme="majorHAnsi"/>
          <w:color w:val="000000"/>
          <w:sz w:val="20"/>
          <w:szCs w:val="20"/>
        </w:rPr>
        <w:t xml:space="preserve"> do 14 dni od daty wystawienia zbiorczego dokument</w:t>
      </w:r>
      <w:r w:rsidR="00A578DD">
        <w:rPr>
          <w:rFonts w:asciiTheme="majorHAnsi" w:hAnsiTheme="majorHAnsi" w:cstheme="majorHAnsi"/>
          <w:color w:val="000000"/>
          <w:sz w:val="20"/>
          <w:szCs w:val="20"/>
        </w:rPr>
        <w:t>u</w:t>
      </w:r>
      <w:r w:rsidR="008A7D2C" w:rsidRPr="008D756D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F23D37" w:rsidRPr="008D756D">
        <w:rPr>
          <w:rFonts w:asciiTheme="majorHAnsi" w:hAnsiTheme="majorHAnsi" w:cstheme="majorHAnsi"/>
          <w:color w:val="000000"/>
          <w:sz w:val="20"/>
          <w:szCs w:val="20"/>
        </w:rPr>
        <w:t>za okres nie dłuższy niż jeden tydzień (tj. od poniedziałku do niedzieli) i nie przekraczający końca miesiąca kalendarzowego</w:t>
      </w:r>
      <w:r w:rsidR="00EE6830" w:rsidRPr="008D756D">
        <w:rPr>
          <w:rFonts w:asciiTheme="majorHAnsi" w:hAnsiTheme="majorHAnsi" w:cstheme="majorHAnsi"/>
          <w:color w:val="000000"/>
          <w:sz w:val="20"/>
          <w:szCs w:val="20"/>
        </w:rPr>
        <w:t xml:space="preserve">. </w:t>
      </w:r>
    </w:p>
    <w:p w14:paraId="51F68EBB" w14:textId="3F542D60" w:rsidR="002701E7" w:rsidRPr="00900379" w:rsidRDefault="002701E7" w:rsidP="002701E7">
      <w:pPr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C2B3A">
        <w:rPr>
          <w:rFonts w:asciiTheme="majorHAnsi" w:hAnsiTheme="majorHAnsi" w:cstheme="majorHAnsi"/>
          <w:color w:val="000000"/>
          <w:sz w:val="20"/>
          <w:szCs w:val="20"/>
        </w:rPr>
        <w:t xml:space="preserve">Wysokość stawek </w:t>
      </w:r>
      <w:r>
        <w:rPr>
          <w:rFonts w:asciiTheme="majorHAnsi" w:hAnsiTheme="majorHAnsi" w:cstheme="majorHAnsi"/>
          <w:color w:val="000000"/>
          <w:sz w:val="20"/>
          <w:szCs w:val="20"/>
        </w:rPr>
        <w:t>niniejszej Taryfy</w:t>
      </w:r>
      <w:r w:rsidRPr="00FC2B3A">
        <w:rPr>
          <w:rFonts w:asciiTheme="majorHAnsi" w:hAnsiTheme="majorHAnsi" w:cstheme="majorHAnsi"/>
          <w:color w:val="000000"/>
          <w:sz w:val="20"/>
          <w:szCs w:val="20"/>
        </w:rPr>
        <w:t xml:space="preserve"> podlegać będzie waloryzacji po  upływie każdego roku</w:t>
      </w:r>
      <w:r w:rsidRPr="00FA6811">
        <w:rPr>
          <w:rFonts w:asciiTheme="majorHAnsi" w:hAnsiTheme="majorHAnsi" w:cstheme="majorHAnsi"/>
          <w:color w:val="000000"/>
          <w:sz w:val="20"/>
          <w:szCs w:val="20"/>
        </w:rPr>
        <w:t xml:space="preserve"> kalendarzowego o średnioroczny wzrost wskaźnika cen towarów i usług konsumpcyjnych publikowany przez  Prezesa G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łównego </w:t>
      </w:r>
      <w:r w:rsidRPr="00FC2B3A">
        <w:rPr>
          <w:rFonts w:asciiTheme="majorHAnsi" w:hAnsiTheme="majorHAnsi" w:cstheme="majorHAnsi"/>
          <w:color w:val="000000"/>
          <w:sz w:val="20"/>
          <w:szCs w:val="20"/>
        </w:rPr>
        <w:t>U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rzędu </w:t>
      </w:r>
      <w:r w:rsidRPr="00FC2B3A">
        <w:rPr>
          <w:rFonts w:asciiTheme="majorHAnsi" w:hAnsiTheme="majorHAnsi" w:cstheme="majorHAnsi"/>
          <w:color w:val="000000"/>
          <w:sz w:val="20"/>
          <w:szCs w:val="20"/>
        </w:rPr>
        <w:t>S</w:t>
      </w:r>
      <w:r>
        <w:rPr>
          <w:rFonts w:asciiTheme="majorHAnsi" w:hAnsiTheme="majorHAnsi" w:cstheme="majorHAnsi"/>
          <w:color w:val="000000"/>
          <w:sz w:val="20"/>
          <w:szCs w:val="20"/>
        </w:rPr>
        <w:t>tatystycznego</w:t>
      </w:r>
      <w:r w:rsidRPr="00FC2B3A">
        <w:rPr>
          <w:rFonts w:asciiTheme="majorHAnsi" w:hAnsiTheme="majorHAnsi" w:cstheme="majorHAnsi"/>
          <w:color w:val="000000"/>
          <w:sz w:val="20"/>
          <w:szCs w:val="20"/>
        </w:rPr>
        <w:t xml:space="preserve"> za rok poprzedni, wyłącznie w razie, gdy wskaźnik ten wyniesie powyżej 100. Zmiana wysokości stawek 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Taryfy </w:t>
      </w:r>
      <w:r w:rsidRPr="00FC2B3A">
        <w:rPr>
          <w:rFonts w:asciiTheme="majorHAnsi" w:hAnsiTheme="majorHAnsi" w:cstheme="majorHAnsi"/>
          <w:color w:val="000000"/>
          <w:sz w:val="20"/>
          <w:szCs w:val="20"/>
        </w:rPr>
        <w:t xml:space="preserve">z  tytułu waloryzacji nie stanowi zmiany warunków  niniejszej Taryfy.  </w:t>
      </w:r>
      <w:r w:rsidRPr="00FB31B1">
        <w:rPr>
          <w:rFonts w:asciiTheme="majorHAnsi" w:hAnsiTheme="majorHAnsi" w:cstheme="majorHAnsi"/>
          <w:color w:val="000000"/>
          <w:sz w:val="20"/>
          <w:szCs w:val="20"/>
        </w:rPr>
        <w:t>Stawki, których wysokość zostanie zwaloryzowana w powyższy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B31B1">
        <w:rPr>
          <w:rFonts w:asciiTheme="majorHAnsi" w:hAnsiTheme="majorHAnsi" w:cstheme="majorHAnsi"/>
          <w:color w:val="000000"/>
          <w:sz w:val="20"/>
          <w:szCs w:val="20"/>
        </w:rPr>
        <w:t>sposób będą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B31B1">
        <w:rPr>
          <w:rFonts w:asciiTheme="majorHAnsi" w:hAnsiTheme="majorHAnsi" w:cstheme="majorHAnsi"/>
          <w:color w:val="000000"/>
          <w:sz w:val="20"/>
          <w:szCs w:val="20"/>
        </w:rPr>
        <w:t>obowiązywać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B31B1">
        <w:rPr>
          <w:rFonts w:asciiTheme="majorHAnsi" w:hAnsiTheme="majorHAnsi" w:cstheme="majorHAnsi"/>
          <w:color w:val="000000"/>
          <w:sz w:val="20"/>
          <w:szCs w:val="20"/>
        </w:rPr>
        <w:t>od 01   kwietnia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 każdego  roku kalendarzowego </w:t>
      </w:r>
      <w:r w:rsidRPr="00FB31B1">
        <w:rPr>
          <w:rFonts w:asciiTheme="majorHAnsi" w:hAnsiTheme="majorHAnsi" w:cstheme="majorHAnsi"/>
          <w:color w:val="000000"/>
          <w:sz w:val="20"/>
          <w:szCs w:val="20"/>
        </w:rPr>
        <w:t>oraz zostaną  niezwłocznie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B31B1">
        <w:rPr>
          <w:rFonts w:asciiTheme="majorHAnsi" w:hAnsiTheme="majorHAnsi" w:cstheme="majorHAnsi"/>
          <w:color w:val="000000"/>
          <w:sz w:val="20"/>
          <w:szCs w:val="20"/>
        </w:rPr>
        <w:t>,po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B31B1">
        <w:rPr>
          <w:rFonts w:asciiTheme="majorHAnsi" w:hAnsiTheme="majorHAnsi" w:cstheme="majorHAnsi"/>
          <w:color w:val="000000"/>
          <w:sz w:val="20"/>
          <w:szCs w:val="20"/>
        </w:rPr>
        <w:t>publikacji GUS,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B31B1">
        <w:rPr>
          <w:rFonts w:asciiTheme="majorHAnsi" w:hAnsiTheme="majorHAnsi" w:cstheme="majorHAnsi"/>
          <w:color w:val="000000"/>
          <w:sz w:val="20"/>
          <w:szCs w:val="20"/>
        </w:rPr>
        <w:t>uwzględnione w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B31B1">
        <w:rPr>
          <w:rFonts w:asciiTheme="majorHAnsi" w:hAnsiTheme="majorHAnsi" w:cstheme="majorHAnsi"/>
          <w:color w:val="000000"/>
          <w:sz w:val="20"/>
          <w:szCs w:val="20"/>
        </w:rPr>
        <w:t>niniejszej Taryfie</w:t>
      </w:r>
      <w:r>
        <w:rPr>
          <w:rFonts w:asciiTheme="majorHAnsi" w:hAnsiTheme="majorHAnsi" w:cstheme="majorHAnsi"/>
          <w:color w:val="000000"/>
          <w:sz w:val="20"/>
          <w:szCs w:val="20"/>
        </w:rPr>
        <w:t>. Pierwsza waloryzacja stawek nastąpi w kwietniu 2023 roku.</w:t>
      </w:r>
    </w:p>
    <w:p w14:paraId="74B55664" w14:textId="2227E092" w:rsidR="00F42C3E" w:rsidRPr="0097130B" w:rsidRDefault="00F42C3E" w:rsidP="00C07DBF">
      <w:pPr>
        <w:numPr>
          <w:ilvl w:val="0"/>
          <w:numId w:val="2"/>
        </w:numPr>
        <w:autoSpaceDE w:val="0"/>
        <w:autoSpaceDN w:val="0"/>
        <w:adjustRightInd w:val="0"/>
        <w:spacing w:before="120" w:line="264" w:lineRule="auto"/>
        <w:ind w:left="714" w:hanging="35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O ile w treści Taryfy nie zostało zdefiniowane określone</w:t>
      </w:r>
      <w:r w:rsidR="008A685F">
        <w:rPr>
          <w:rFonts w:asciiTheme="majorHAnsi" w:hAnsiTheme="majorHAnsi" w:cstheme="majorHAnsi"/>
          <w:color w:val="000000"/>
          <w:sz w:val="20"/>
          <w:szCs w:val="20"/>
        </w:rPr>
        <w:t xml:space="preserve"> wyrażenie, dla celu zastosowania Taryfy nadaje mu się znaczenie określone w</w:t>
      </w:r>
      <w:r w:rsidR="001E6A2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8A685F">
        <w:rPr>
          <w:rFonts w:asciiTheme="majorHAnsi" w:hAnsiTheme="majorHAnsi" w:cstheme="majorHAnsi"/>
          <w:color w:val="000000"/>
          <w:sz w:val="20"/>
          <w:szCs w:val="20"/>
        </w:rPr>
        <w:t xml:space="preserve">dokumencie przywołanym </w:t>
      </w:r>
      <w:r w:rsidR="008A685F" w:rsidRPr="00A0281C">
        <w:rPr>
          <w:rFonts w:asciiTheme="majorHAnsi" w:hAnsiTheme="majorHAnsi" w:cstheme="majorHAnsi"/>
          <w:color w:val="000000"/>
          <w:sz w:val="20"/>
          <w:szCs w:val="20"/>
        </w:rPr>
        <w:t>w § 1 ust.1</w:t>
      </w:r>
      <w:r w:rsidR="008A685F">
        <w:rPr>
          <w:rFonts w:asciiTheme="majorHAnsi" w:hAnsiTheme="majorHAnsi" w:cstheme="majorHAnsi"/>
          <w:color w:val="000000"/>
          <w:sz w:val="20"/>
          <w:szCs w:val="20"/>
        </w:rPr>
        <w:t xml:space="preserve"> Taryfy, a w przypadku braku definicji w tym dokumencie - w </w:t>
      </w:r>
      <w:r w:rsidR="008A685F" w:rsidRPr="008A685F">
        <w:rPr>
          <w:rFonts w:asciiTheme="majorHAnsi" w:hAnsiTheme="majorHAnsi" w:cstheme="majorHAnsi"/>
          <w:color w:val="000000"/>
          <w:sz w:val="20"/>
          <w:szCs w:val="20"/>
        </w:rPr>
        <w:t>„</w:t>
      </w:r>
      <w:r w:rsidR="008A685F">
        <w:rPr>
          <w:rFonts w:asciiTheme="majorHAnsi" w:hAnsiTheme="majorHAnsi" w:cstheme="majorHAnsi"/>
          <w:i/>
          <w:iCs/>
          <w:color w:val="000000"/>
          <w:sz w:val="20"/>
          <w:szCs w:val="20"/>
        </w:rPr>
        <w:t>Taryfie opłat portowych</w:t>
      </w:r>
      <w:r w:rsidR="008A685F" w:rsidRPr="008A685F">
        <w:rPr>
          <w:rFonts w:asciiTheme="majorHAnsi" w:hAnsiTheme="majorHAnsi" w:cstheme="majorHAnsi"/>
          <w:color w:val="000000"/>
          <w:sz w:val="20"/>
          <w:szCs w:val="20"/>
        </w:rPr>
        <w:t>”</w:t>
      </w:r>
      <w:r w:rsidR="008A685F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8A685F" w:rsidRPr="008A685F">
        <w:rPr>
          <w:rFonts w:asciiTheme="majorHAnsi" w:hAnsiTheme="majorHAnsi" w:cstheme="majorHAnsi"/>
          <w:color w:val="000000"/>
          <w:sz w:val="20"/>
          <w:szCs w:val="20"/>
        </w:rPr>
        <w:t>ustalon</w:t>
      </w:r>
      <w:r w:rsidR="001518D1">
        <w:rPr>
          <w:rFonts w:asciiTheme="majorHAnsi" w:hAnsiTheme="majorHAnsi" w:cstheme="majorHAnsi"/>
          <w:color w:val="000000"/>
          <w:sz w:val="20"/>
          <w:szCs w:val="20"/>
        </w:rPr>
        <w:t>ej</w:t>
      </w:r>
      <w:r w:rsidR="008A685F" w:rsidRPr="008A685F">
        <w:rPr>
          <w:rFonts w:asciiTheme="majorHAnsi" w:hAnsiTheme="majorHAnsi" w:cstheme="majorHAnsi"/>
          <w:color w:val="000000"/>
          <w:sz w:val="20"/>
          <w:szCs w:val="20"/>
        </w:rPr>
        <w:t xml:space="preserve"> przez ZARZĄD MORSKICH PORTÓW SZCZECIN I ŚWINOUJŚCIE Spółka Akcyjna</w:t>
      </w:r>
      <w:r w:rsidR="008A685F" w:rsidRPr="008A685F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z siedzibą w Szczecinie</w:t>
      </w:r>
      <w:r w:rsidR="008A685F" w:rsidRPr="008A685F">
        <w:rPr>
          <w:rFonts w:asciiTheme="majorHAnsi" w:hAnsiTheme="majorHAnsi" w:cstheme="majorHAnsi"/>
          <w:color w:val="000000"/>
          <w:sz w:val="20"/>
          <w:szCs w:val="20"/>
        </w:rPr>
        <w:t>, adres: ul. Bytomska nr 7, 70-603 Szczecin, wpisan</w:t>
      </w:r>
      <w:r w:rsidR="00F0651C">
        <w:rPr>
          <w:rFonts w:asciiTheme="majorHAnsi" w:hAnsiTheme="majorHAnsi" w:cstheme="majorHAnsi"/>
          <w:color w:val="000000"/>
          <w:sz w:val="20"/>
          <w:szCs w:val="20"/>
        </w:rPr>
        <w:t>ą</w:t>
      </w:r>
      <w:r w:rsidR="008A685F" w:rsidRPr="008A685F">
        <w:rPr>
          <w:rFonts w:asciiTheme="majorHAnsi" w:hAnsiTheme="majorHAnsi" w:cstheme="majorHAnsi"/>
          <w:color w:val="000000"/>
          <w:sz w:val="20"/>
          <w:szCs w:val="20"/>
        </w:rPr>
        <w:t xml:space="preserve"> do Rejestru Przedsiębiorców Krajowego Rejestru Sądowego pod numerem: KRS </w:t>
      </w:r>
      <w:r w:rsidR="008A685F" w:rsidRPr="008A685F">
        <w:rPr>
          <w:rFonts w:asciiTheme="majorHAnsi" w:hAnsiTheme="majorHAnsi" w:cstheme="majorHAnsi"/>
          <w:bCs/>
          <w:color w:val="000000"/>
          <w:sz w:val="20"/>
          <w:szCs w:val="20"/>
        </w:rPr>
        <w:t>0000033768</w:t>
      </w:r>
      <w:r w:rsidR="008A685F" w:rsidRPr="008A685F">
        <w:rPr>
          <w:rFonts w:asciiTheme="majorHAnsi" w:hAnsiTheme="majorHAnsi" w:cstheme="majorHAnsi"/>
          <w:color w:val="000000"/>
          <w:sz w:val="20"/>
          <w:szCs w:val="20"/>
        </w:rPr>
        <w:t>, sąd rejestrowy: Sąd Rejonowy Szczecin-Centrum w Szczecinie, REGON: 811649448, NIP: 9551889161, na podstawie art.8 Ustawy z dnia 20 grudnia 199</w:t>
      </w:r>
      <w:r w:rsidR="00F0651C">
        <w:rPr>
          <w:rFonts w:asciiTheme="majorHAnsi" w:hAnsiTheme="majorHAnsi" w:cstheme="majorHAnsi"/>
          <w:color w:val="000000"/>
          <w:sz w:val="20"/>
          <w:szCs w:val="20"/>
        </w:rPr>
        <w:t>6</w:t>
      </w:r>
      <w:r w:rsidR="008A685F" w:rsidRPr="008A685F">
        <w:rPr>
          <w:rFonts w:asciiTheme="majorHAnsi" w:hAnsiTheme="majorHAnsi" w:cstheme="majorHAnsi"/>
          <w:color w:val="000000"/>
          <w:sz w:val="20"/>
          <w:szCs w:val="20"/>
        </w:rPr>
        <w:t xml:space="preserve"> roku o portach i przystaniach morskich</w:t>
      </w:r>
      <w:r w:rsidR="00C01237" w:rsidRPr="00C01237">
        <w:rPr>
          <w:rFonts w:asciiTheme="majorHAnsi" w:hAnsiTheme="majorHAnsi" w:cstheme="majorHAnsi"/>
          <w:sz w:val="20"/>
          <w:szCs w:val="20"/>
        </w:rPr>
        <w:t xml:space="preserve"> </w:t>
      </w:r>
      <w:r w:rsidR="00C01237" w:rsidRPr="00C01237">
        <w:rPr>
          <w:rFonts w:asciiTheme="majorHAnsi" w:hAnsiTheme="majorHAnsi" w:cstheme="majorHAnsi"/>
          <w:color w:val="000000"/>
          <w:sz w:val="20"/>
          <w:szCs w:val="20"/>
        </w:rPr>
        <w:t>w zw. z art.10 Ustawy z dnia 12 września 2002 roku o portowych urządzeniach do odbioru odpadów oraz pozostałości ładunkowych ze statków</w:t>
      </w:r>
      <w:r w:rsidR="008A685F" w:rsidRPr="008A685F"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14:paraId="0CB5879D" w14:textId="77777777" w:rsidR="003E06EF" w:rsidRDefault="003E06EF" w:rsidP="003E06EF">
      <w:pPr>
        <w:pStyle w:val="Nagwek1"/>
        <w:ind w:left="0" w:firstLine="0"/>
        <w:jc w:val="center"/>
        <w:rPr>
          <w:rFonts w:asciiTheme="majorHAnsi" w:hAnsiTheme="majorHAnsi" w:cstheme="majorHAnsi"/>
          <w:b/>
          <w:bCs/>
          <w:color w:val="4472C4" w:themeColor="accent1"/>
          <w:sz w:val="20"/>
          <w:szCs w:val="20"/>
        </w:rPr>
      </w:pPr>
      <w:bookmarkStart w:id="2" w:name="_Toc442259480"/>
      <w:bookmarkStart w:id="3" w:name="_Toc351109130"/>
      <w:bookmarkStart w:id="4" w:name="_Toc441655572"/>
      <w:bookmarkStart w:id="5" w:name="_Toc441655633"/>
      <w:bookmarkStart w:id="6" w:name="_Toc441655664"/>
      <w:bookmarkStart w:id="7" w:name="_Toc24099583"/>
    </w:p>
    <w:p w14:paraId="206F5F6B" w14:textId="33E652D6" w:rsidR="00932ED9" w:rsidRDefault="00932ED9" w:rsidP="003E06EF">
      <w:pPr>
        <w:pStyle w:val="Nagwek1"/>
        <w:ind w:left="0" w:firstLine="0"/>
        <w:jc w:val="center"/>
        <w:rPr>
          <w:rFonts w:asciiTheme="majorHAnsi" w:hAnsiTheme="majorHAnsi" w:cstheme="majorHAnsi"/>
          <w:b/>
          <w:bCs/>
          <w:color w:val="4472C4" w:themeColor="accent1"/>
          <w:sz w:val="20"/>
          <w:szCs w:val="20"/>
        </w:rPr>
      </w:pPr>
      <w:bookmarkStart w:id="8" w:name="_Toc95895308"/>
      <w:r w:rsidRPr="003E06EF">
        <w:rPr>
          <w:rFonts w:asciiTheme="majorHAnsi" w:hAnsiTheme="majorHAnsi" w:cstheme="majorHAnsi"/>
          <w:b/>
          <w:bCs/>
          <w:color w:val="4472C4" w:themeColor="accent1"/>
          <w:sz w:val="20"/>
          <w:szCs w:val="20"/>
        </w:rPr>
        <w:t xml:space="preserve">§ </w:t>
      </w:r>
      <w:r w:rsidR="009E43DC">
        <w:rPr>
          <w:rFonts w:asciiTheme="majorHAnsi" w:hAnsiTheme="majorHAnsi" w:cstheme="majorHAnsi"/>
          <w:b/>
          <w:bCs/>
          <w:color w:val="4472C4" w:themeColor="accent1"/>
          <w:sz w:val="20"/>
          <w:szCs w:val="20"/>
        </w:rPr>
        <w:t>2</w:t>
      </w:r>
      <w:r w:rsidRPr="003E06EF">
        <w:rPr>
          <w:rFonts w:asciiTheme="majorHAnsi" w:hAnsiTheme="majorHAnsi" w:cstheme="majorHAnsi"/>
          <w:b/>
          <w:bCs/>
          <w:color w:val="4472C4" w:themeColor="accent1"/>
          <w:sz w:val="20"/>
          <w:szCs w:val="20"/>
        </w:rPr>
        <w:t xml:space="preserve"> </w:t>
      </w:r>
      <w:r w:rsidR="00FD0AE2">
        <w:rPr>
          <w:rFonts w:asciiTheme="majorHAnsi" w:hAnsiTheme="majorHAnsi" w:cstheme="majorHAnsi"/>
          <w:b/>
          <w:bCs/>
          <w:color w:val="4472C4" w:themeColor="accent1"/>
          <w:sz w:val="20"/>
          <w:szCs w:val="20"/>
        </w:rPr>
        <w:tab/>
      </w:r>
      <w:r w:rsidRPr="003E06EF">
        <w:rPr>
          <w:rFonts w:asciiTheme="majorHAnsi" w:hAnsiTheme="majorHAnsi" w:cstheme="majorHAnsi"/>
          <w:b/>
          <w:bCs/>
          <w:color w:val="4472C4" w:themeColor="accent1"/>
          <w:sz w:val="20"/>
          <w:szCs w:val="20"/>
        </w:rPr>
        <w:t>Opłata za przycumowania lub odcumowania statku</w:t>
      </w:r>
      <w:bookmarkEnd w:id="2"/>
      <w:bookmarkEnd w:id="3"/>
      <w:bookmarkEnd w:id="4"/>
      <w:bookmarkEnd w:id="5"/>
      <w:bookmarkEnd w:id="6"/>
      <w:bookmarkEnd w:id="7"/>
      <w:bookmarkEnd w:id="8"/>
    </w:p>
    <w:p w14:paraId="0E993577" w14:textId="77777777" w:rsidR="003E06EF" w:rsidRPr="003E06EF" w:rsidRDefault="003E06EF" w:rsidP="0072642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2835"/>
      </w:tblGrid>
      <w:tr w:rsidR="00932ED9" w:rsidRPr="00932ED9" w14:paraId="74405971" w14:textId="77777777" w:rsidTr="008458F0">
        <w:trPr>
          <w:jc w:val="center"/>
        </w:trPr>
        <w:tc>
          <w:tcPr>
            <w:tcW w:w="567" w:type="dxa"/>
            <w:shd w:val="clear" w:color="auto" w:fill="ACB9CA" w:themeFill="text2" w:themeFillTint="66"/>
          </w:tcPr>
          <w:p w14:paraId="6BAC3CCC" w14:textId="6BAE456F" w:rsidR="00932ED9" w:rsidRPr="00932ED9" w:rsidRDefault="001518D1" w:rsidP="001518D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l.</w:t>
            </w:r>
            <w:r w:rsidR="00932ED9" w:rsidRPr="00932ED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p.</w:t>
            </w:r>
          </w:p>
        </w:tc>
        <w:tc>
          <w:tcPr>
            <w:tcW w:w="2835" w:type="dxa"/>
            <w:shd w:val="clear" w:color="auto" w:fill="ACB9CA" w:themeFill="text2" w:themeFillTint="66"/>
          </w:tcPr>
          <w:p w14:paraId="49A54F67" w14:textId="3E37664C" w:rsidR="00932ED9" w:rsidRPr="00932ED9" w:rsidRDefault="00932ED9" w:rsidP="001518D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32ED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stat</w:t>
            </w:r>
            <w:r w:rsidR="00D7328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</w:t>
            </w:r>
            <w:r w:rsidRPr="00932ED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</w:t>
            </w:r>
          </w:p>
        </w:tc>
        <w:tc>
          <w:tcPr>
            <w:tcW w:w="2835" w:type="dxa"/>
            <w:shd w:val="clear" w:color="auto" w:fill="ACB9CA" w:themeFill="text2" w:themeFillTint="66"/>
          </w:tcPr>
          <w:p w14:paraId="65E3EE78" w14:textId="1BAFAFCF" w:rsidR="00932ED9" w:rsidRPr="00932ED9" w:rsidRDefault="001518D1" w:rsidP="001518D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</w:t>
            </w:r>
            <w:r w:rsidR="00932ED9" w:rsidRPr="00932ED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ysokość opłat</w:t>
            </w:r>
            <w:r w:rsidR="00A578D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</w:t>
            </w:r>
            <w:r w:rsidR="00932ED9" w:rsidRPr="00932ED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(PLN</w:t>
            </w:r>
            <w:r w:rsidR="00D7328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932ED9" w:rsidRPr="00932ED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/</w:t>
            </w:r>
            <w:r w:rsidR="00D7328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932ED9" w:rsidRPr="00932ED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1GT)</w:t>
            </w:r>
          </w:p>
        </w:tc>
      </w:tr>
      <w:tr w:rsidR="00932ED9" w:rsidRPr="00932ED9" w14:paraId="3A4F4936" w14:textId="77777777" w:rsidTr="001518D1">
        <w:trPr>
          <w:jc w:val="center"/>
        </w:trPr>
        <w:tc>
          <w:tcPr>
            <w:tcW w:w="567" w:type="dxa"/>
          </w:tcPr>
          <w:p w14:paraId="63B43ACF" w14:textId="77777777" w:rsidR="00932ED9" w:rsidRPr="00932ED9" w:rsidRDefault="00932ED9" w:rsidP="00551EF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32ED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144113A8" w14:textId="77777777" w:rsidR="00932ED9" w:rsidRPr="00932ED9" w:rsidRDefault="00932ED9" w:rsidP="00551EF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32ED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Statki żeglugi morskiej</w:t>
            </w:r>
          </w:p>
        </w:tc>
        <w:tc>
          <w:tcPr>
            <w:tcW w:w="2835" w:type="dxa"/>
          </w:tcPr>
          <w:p w14:paraId="1F9BE28F" w14:textId="48FA073C" w:rsidR="00932ED9" w:rsidRPr="00932ED9" w:rsidRDefault="00E11F2D" w:rsidP="00551EF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9249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0,03846</w:t>
            </w:r>
          </w:p>
        </w:tc>
      </w:tr>
      <w:tr w:rsidR="00932ED9" w:rsidRPr="00932ED9" w14:paraId="3BA77995" w14:textId="77777777" w:rsidTr="001518D1">
        <w:trPr>
          <w:jc w:val="center"/>
        </w:trPr>
        <w:tc>
          <w:tcPr>
            <w:tcW w:w="567" w:type="dxa"/>
          </w:tcPr>
          <w:p w14:paraId="0EB87E7A" w14:textId="77777777" w:rsidR="00932ED9" w:rsidRPr="00932ED9" w:rsidRDefault="00932ED9" w:rsidP="00551EF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32ED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14:paraId="56D8CA56" w14:textId="77777777" w:rsidR="00932ED9" w:rsidRPr="00932ED9" w:rsidRDefault="00932ED9" w:rsidP="00551EF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32ED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Statki żeglugi śródlądowej</w:t>
            </w:r>
          </w:p>
        </w:tc>
        <w:tc>
          <w:tcPr>
            <w:tcW w:w="2835" w:type="dxa"/>
          </w:tcPr>
          <w:p w14:paraId="55D73209" w14:textId="73B401E2" w:rsidR="00932ED9" w:rsidRPr="00932ED9" w:rsidRDefault="00B173C6" w:rsidP="00551EF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0,04662</w:t>
            </w:r>
          </w:p>
        </w:tc>
      </w:tr>
    </w:tbl>
    <w:p w14:paraId="22F01BB4" w14:textId="77777777" w:rsidR="00932ED9" w:rsidRPr="001518D1" w:rsidRDefault="00932ED9" w:rsidP="00F0651C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color w:val="000000"/>
          <w:sz w:val="20"/>
          <w:szCs w:val="20"/>
          <w:u w:val="single"/>
        </w:rPr>
      </w:pPr>
      <w:r w:rsidRPr="00932ED9">
        <w:rPr>
          <w:rFonts w:asciiTheme="majorHAnsi" w:hAnsiTheme="majorHAnsi" w:cstheme="majorHAnsi"/>
          <w:color w:val="000000"/>
          <w:sz w:val="20"/>
          <w:szCs w:val="20"/>
        </w:rPr>
        <w:br/>
      </w:r>
      <w:r w:rsidRPr="001518D1">
        <w:rPr>
          <w:rFonts w:asciiTheme="majorHAnsi" w:hAnsiTheme="majorHAnsi" w:cstheme="majorHAnsi"/>
          <w:color w:val="000000"/>
          <w:sz w:val="20"/>
          <w:szCs w:val="20"/>
          <w:u w:val="single"/>
        </w:rPr>
        <w:t>Objaśnienia:</w:t>
      </w:r>
    </w:p>
    <w:p w14:paraId="5412B4F4" w14:textId="7BC0EAA2" w:rsidR="00F2708C" w:rsidRPr="00F2708C" w:rsidRDefault="00F2708C" w:rsidP="00D74DB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iCs/>
          <w:color w:val="000000"/>
          <w:sz w:val="20"/>
          <w:szCs w:val="20"/>
        </w:rPr>
      </w:pPr>
      <w:bookmarkStart w:id="9" w:name="_Toc351109131"/>
      <w:bookmarkStart w:id="10" w:name="_Toc441655573"/>
      <w:bookmarkStart w:id="11" w:name="_Toc441655634"/>
      <w:bookmarkStart w:id="12" w:name="_Toc441655665"/>
      <w:bookmarkStart w:id="13" w:name="_Toc442259481"/>
      <w:bookmarkStart w:id="14" w:name="_Toc24099584"/>
      <w:r w:rsidRPr="00F2708C">
        <w:rPr>
          <w:rFonts w:asciiTheme="majorHAnsi" w:hAnsiTheme="majorHAnsi" w:cstheme="majorHAnsi"/>
          <w:i/>
          <w:iCs/>
          <w:color w:val="000000"/>
          <w:sz w:val="20"/>
          <w:szCs w:val="20"/>
        </w:rPr>
        <w:lastRenderedPageBreak/>
        <w:t>Podstawą do ustalenia wysokości opłat</w:t>
      </w:r>
      <w:r w:rsidRPr="009E43DC">
        <w:rPr>
          <w:rFonts w:asciiTheme="majorHAnsi" w:hAnsiTheme="majorHAnsi" w:cstheme="majorHAnsi"/>
          <w:i/>
          <w:iCs/>
          <w:color w:val="000000"/>
          <w:sz w:val="20"/>
          <w:szCs w:val="20"/>
        </w:rPr>
        <w:t>y za przycumowanie lub odcumowanie statku</w:t>
      </w:r>
      <w:r w:rsidRPr="00F2708C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jest pojemność brutto statku (GT) zgodnie z aktualnym międzynarodowym świadectwem pomiarowym </w:t>
      </w:r>
      <w:r w:rsidR="00F0651C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tego </w:t>
      </w:r>
      <w:r w:rsidRPr="00F2708C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statku wydanym na podstawie „Międzynarodowej Konwencji o Pomierzaniu Pojemności Statków” sporządzonej w Londynie dnia 23 czerwca 1969 roku. </w:t>
      </w:r>
    </w:p>
    <w:p w14:paraId="6EC9BD35" w14:textId="1BA829BB" w:rsidR="00F2708C" w:rsidRPr="00F2708C" w:rsidRDefault="00F2708C" w:rsidP="00D74DB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iCs/>
          <w:color w:val="000000"/>
          <w:sz w:val="20"/>
          <w:szCs w:val="20"/>
        </w:rPr>
      </w:pPr>
      <w:r w:rsidRPr="00F2708C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W odniesieniu do statków posiadających świadectwo pomiarowe określające ich </w:t>
      </w:r>
      <w:r w:rsidR="00C175F6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pojemność </w:t>
      </w:r>
      <w:r w:rsidRPr="00F2708C">
        <w:rPr>
          <w:rFonts w:asciiTheme="majorHAnsi" w:hAnsiTheme="majorHAnsi" w:cstheme="majorHAnsi"/>
          <w:i/>
          <w:iCs/>
          <w:color w:val="000000"/>
          <w:sz w:val="20"/>
          <w:szCs w:val="20"/>
        </w:rPr>
        <w:t>rejestrow</w:t>
      </w:r>
      <w:r w:rsidR="00C175F6">
        <w:rPr>
          <w:rFonts w:asciiTheme="majorHAnsi" w:hAnsiTheme="majorHAnsi" w:cstheme="majorHAnsi"/>
          <w:i/>
          <w:iCs/>
          <w:color w:val="000000"/>
          <w:sz w:val="20"/>
          <w:szCs w:val="20"/>
        </w:rPr>
        <w:t>ą</w:t>
      </w:r>
      <w:r w:rsidRPr="00F2708C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brutto </w:t>
      </w:r>
      <w:r w:rsidR="0050512D">
        <w:rPr>
          <w:rFonts w:asciiTheme="majorHAnsi" w:hAnsiTheme="majorHAnsi" w:cstheme="majorHAnsi"/>
          <w:i/>
          <w:iCs/>
          <w:color w:val="000000"/>
          <w:sz w:val="20"/>
          <w:szCs w:val="20"/>
        </w:rPr>
        <w:t>(</w:t>
      </w:r>
      <w:r w:rsidRPr="00F2708C">
        <w:rPr>
          <w:rFonts w:asciiTheme="majorHAnsi" w:hAnsiTheme="majorHAnsi" w:cstheme="majorHAnsi"/>
          <w:i/>
          <w:iCs/>
          <w:color w:val="000000"/>
          <w:sz w:val="20"/>
          <w:szCs w:val="20"/>
        </w:rPr>
        <w:t>BRT</w:t>
      </w:r>
      <w:r w:rsidR="0050512D">
        <w:rPr>
          <w:rFonts w:asciiTheme="majorHAnsi" w:hAnsiTheme="majorHAnsi" w:cstheme="majorHAnsi"/>
          <w:i/>
          <w:iCs/>
          <w:color w:val="000000"/>
          <w:sz w:val="20"/>
          <w:szCs w:val="20"/>
        </w:rPr>
        <w:t>)</w:t>
      </w:r>
      <w:r w:rsidRPr="00F2708C">
        <w:rPr>
          <w:rFonts w:asciiTheme="majorHAnsi" w:hAnsiTheme="majorHAnsi" w:cstheme="majorHAnsi"/>
          <w:i/>
          <w:iCs/>
          <w:color w:val="000000"/>
          <w:sz w:val="20"/>
          <w:szCs w:val="20"/>
        </w:rPr>
        <w:t>, do ustalenia wysokości opłaty przyjmuje się, iż 1 BRT = 1 GT.</w:t>
      </w:r>
    </w:p>
    <w:p w14:paraId="4C6C8E51" w14:textId="79C4A724" w:rsidR="00F2708C" w:rsidRPr="00F2708C" w:rsidRDefault="00F2708C" w:rsidP="00D74DB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iCs/>
          <w:color w:val="000000"/>
          <w:sz w:val="20"/>
          <w:szCs w:val="20"/>
        </w:rPr>
      </w:pPr>
      <w:r w:rsidRPr="00F2708C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W przypadku braku możliwości określania pojemności brutto statku </w:t>
      </w:r>
      <w:r w:rsidR="00C175F6">
        <w:rPr>
          <w:rFonts w:asciiTheme="majorHAnsi" w:hAnsiTheme="majorHAnsi" w:cstheme="majorHAnsi"/>
          <w:i/>
          <w:iCs/>
          <w:color w:val="000000"/>
          <w:sz w:val="20"/>
          <w:szCs w:val="20"/>
        </w:rPr>
        <w:t>(</w:t>
      </w:r>
      <w:r w:rsidRPr="00F2708C">
        <w:rPr>
          <w:rFonts w:asciiTheme="majorHAnsi" w:hAnsiTheme="majorHAnsi" w:cstheme="majorHAnsi"/>
          <w:i/>
          <w:iCs/>
          <w:color w:val="000000"/>
          <w:sz w:val="20"/>
          <w:szCs w:val="20"/>
        </w:rPr>
        <w:t>GT</w:t>
      </w:r>
      <w:r w:rsidR="00C175F6">
        <w:rPr>
          <w:rFonts w:asciiTheme="majorHAnsi" w:hAnsiTheme="majorHAnsi" w:cstheme="majorHAnsi"/>
          <w:i/>
          <w:iCs/>
          <w:color w:val="000000"/>
          <w:sz w:val="20"/>
          <w:szCs w:val="20"/>
        </w:rPr>
        <w:t>)</w:t>
      </w:r>
      <w:r w:rsidR="002935F5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lub </w:t>
      </w:r>
      <w:r w:rsidR="00FA7584" w:rsidRPr="00FA7584">
        <w:rPr>
          <w:rFonts w:asciiTheme="majorHAnsi" w:hAnsiTheme="majorHAnsi" w:cstheme="majorHAnsi"/>
          <w:i/>
          <w:iCs/>
          <w:color w:val="000000"/>
          <w:sz w:val="20"/>
          <w:szCs w:val="20"/>
        </w:rPr>
        <w:t>pojemnoś</w:t>
      </w:r>
      <w:r w:rsidR="00E0425B">
        <w:rPr>
          <w:rFonts w:asciiTheme="majorHAnsi" w:hAnsiTheme="majorHAnsi" w:cstheme="majorHAnsi"/>
          <w:i/>
          <w:iCs/>
          <w:color w:val="000000"/>
          <w:sz w:val="20"/>
          <w:szCs w:val="20"/>
        </w:rPr>
        <w:t>ci</w:t>
      </w:r>
      <w:r w:rsidR="00FA7584" w:rsidRPr="00FA7584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rejestrow</w:t>
      </w:r>
      <w:r w:rsidR="00E0425B">
        <w:rPr>
          <w:rFonts w:asciiTheme="majorHAnsi" w:hAnsiTheme="majorHAnsi" w:cstheme="majorHAnsi"/>
          <w:i/>
          <w:iCs/>
          <w:color w:val="000000"/>
          <w:sz w:val="20"/>
          <w:szCs w:val="20"/>
        </w:rPr>
        <w:t>ej</w:t>
      </w:r>
      <w:r w:rsidR="00FA7584" w:rsidRPr="00FA7584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brutto </w:t>
      </w:r>
      <w:r w:rsidR="00FA7584">
        <w:rPr>
          <w:rFonts w:asciiTheme="majorHAnsi" w:hAnsiTheme="majorHAnsi" w:cstheme="majorHAnsi"/>
          <w:i/>
          <w:iCs/>
          <w:color w:val="000000"/>
          <w:sz w:val="20"/>
          <w:szCs w:val="20"/>
        </w:rPr>
        <w:t>(</w:t>
      </w:r>
      <w:r w:rsidR="002935F5">
        <w:rPr>
          <w:rFonts w:asciiTheme="majorHAnsi" w:hAnsiTheme="majorHAnsi" w:cstheme="majorHAnsi"/>
          <w:i/>
          <w:iCs/>
          <w:color w:val="000000"/>
          <w:sz w:val="20"/>
          <w:szCs w:val="20"/>
        </w:rPr>
        <w:t>BRT</w:t>
      </w:r>
      <w:r w:rsidR="00FA7584">
        <w:rPr>
          <w:rFonts w:asciiTheme="majorHAnsi" w:hAnsiTheme="majorHAnsi" w:cstheme="majorHAnsi"/>
          <w:i/>
          <w:iCs/>
          <w:color w:val="000000"/>
          <w:sz w:val="20"/>
          <w:szCs w:val="20"/>
        </w:rPr>
        <w:t>)</w:t>
      </w:r>
      <w:r w:rsidRPr="00F2708C">
        <w:rPr>
          <w:rFonts w:asciiTheme="majorHAnsi" w:hAnsiTheme="majorHAnsi" w:cstheme="majorHAnsi"/>
          <w:i/>
          <w:iCs/>
          <w:color w:val="000000"/>
          <w:sz w:val="20"/>
          <w:szCs w:val="20"/>
        </w:rPr>
        <w:t>, podstawą naliczania opłaty portowej jest pojemność</w:t>
      </w:r>
      <w:r w:rsidR="008F3F1D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statku</w:t>
      </w:r>
      <w:r w:rsidRPr="00F2708C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wyrażona w metrach sześciennych</w:t>
      </w:r>
      <w:r w:rsidR="008F3F1D">
        <w:rPr>
          <w:rFonts w:asciiTheme="majorHAnsi" w:hAnsiTheme="majorHAnsi" w:cstheme="majorHAnsi"/>
          <w:i/>
          <w:iCs/>
          <w:color w:val="000000"/>
          <w:sz w:val="20"/>
          <w:szCs w:val="20"/>
        </w:rPr>
        <w:t>,</w:t>
      </w:r>
      <w:r w:rsidRPr="00F2708C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będąca iloczynem długości całkowitej, maksymalnej szerokości i maksymalnego zanurzenia według letniej linii wodnej w wodzie słodkiej</w:t>
      </w:r>
      <w:r w:rsidR="008F3F1D">
        <w:rPr>
          <w:rFonts w:asciiTheme="majorHAnsi" w:hAnsiTheme="majorHAnsi" w:cstheme="majorHAnsi"/>
          <w:i/>
          <w:iCs/>
          <w:color w:val="000000"/>
          <w:sz w:val="20"/>
          <w:szCs w:val="20"/>
        </w:rPr>
        <w:t>,</w:t>
      </w:r>
      <w:r w:rsidRPr="00F2708C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z zaokrągleniem wzwyż do pełnego metra sześciennego, przy czym przyjmuje się, że 1 m</w:t>
      </w:r>
      <w:r w:rsidRPr="00F2708C">
        <w:rPr>
          <w:rFonts w:asciiTheme="majorHAnsi" w:hAnsiTheme="majorHAnsi" w:cstheme="majorHAnsi"/>
          <w:i/>
          <w:iCs/>
          <w:color w:val="000000"/>
          <w:sz w:val="20"/>
          <w:szCs w:val="20"/>
          <w:vertAlign w:val="superscript"/>
        </w:rPr>
        <w:t>3</w:t>
      </w:r>
      <w:r w:rsidR="003C2A77">
        <w:rPr>
          <w:rFonts w:asciiTheme="majorHAnsi" w:hAnsiTheme="majorHAnsi" w:cstheme="majorHAnsi"/>
          <w:i/>
          <w:iCs/>
          <w:color w:val="000000"/>
          <w:sz w:val="20"/>
          <w:szCs w:val="20"/>
          <w:vertAlign w:val="superscript"/>
        </w:rPr>
        <w:t xml:space="preserve"> </w:t>
      </w:r>
      <w:r w:rsidRPr="00F2708C">
        <w:rPr>
          <w:rFonts w:asciiTheme="majorHAnsi" w:hAnsiTheme="majorHAnsi" w:cstheme="majorHAnsi"/>
          <w:i/>
          <w:iCs/>
          <w:color w:val="000000"/>
          <w:sz w:val="20"/>
          <w:szCs w:val="20"/>
        </w:rPr>
        <w:t>=</w:t>
      </w:r>
      <w:r w:rsidR="003C2A77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</w:t>
      </w:r>
      <w:r w:rsidRPr="00F2708C">
        <w:rPr>
          <w:rFonts w:asciiTheme="majorHAnsi" w:hAnsiTheme="majorHAnsi" w:cstheme="majorHAnsi"/>
          <w:i/>
          <w:iCs/>
          <w:color w:val="000000"/>
          <w:sz w:val="20"/>
          <w:szCs w:val="20"/>
        </w:rPr>
        <w:t>1</w:t>
      </w:r>
      <w:r w:rsidR="00E0425B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</w:t>
      </w:r>
      <w:r w:rsidRPr="00F2708C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GT. </w:t>
      </w:r>
    </w:p>
    <w:p w14:paraId="458D2366" w14:textId="77777777" w:rsidR="003C2A77" w:rsidRPr="003C2A77" w:rsidRDefault="003C2A77" w:rsidP="00D74DB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iCs/>
          <w:color w:val="000000"/>
          <w:sz w:val="20"/>
          <w:szCs w:val="20"/>
        </w:rPr>
      </w:pPr>
      <w:r w:rsidRPr="003C2A77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Jeżeli w międzynarodowym świadectwie pomiarowym wykazane są różne pojemności statku lub statek posiada więcej niż jedno międzynarodowe świadectwo pomiarowe, podstawę naliczania odpowiednich opłat portowych stanowi najwyższa pojemność wynikająca z tych dokumentów. </w:t>
      </w:r>
    </w:p>
    <w:p w14:paraId="6E902319" w14:textId="77777777" w:rsidR="009E43DC" w:rsidRDefault="009E43DC" w:rsidP="00932ED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348AFA33" w14:textId="33AFAFD7" w:rsidR="00932ED9" w:rsidRDefault="00932ED9" w:rsidP="00FD0AE2">
      <w:pPr>
        <w:pStyle w:val="Nagwek1"/>
        <w:ind w:left="0" w:firstLine="0"/>
        <w:jc w:val="center"/>
        <w:rPr>
          <w:rFonts w:asciiTheme="majorHAnsi" w:hAnsiTheme="majorHAnsi" w:cstheme="majorHAnsi"/>
          <w:b/>
          <w:bCs/>
          <w:color w:val="4472C4" w:themeColor="accent1"/>
          <w:sz w:val="20"/>
          <w:szCs w:val="20"/>
        </w:rPr>
      </w:pPr>
      <w:bookmarkStart w:id="15" w:name="_Toc95895309"/>
      <w:r w:rsidRPr="00FD0AE2">
        <w:rPr>
          <w:rFonts w:asciiTheme="majorHAnsi" w:hAnsiTheme="majorHAnsi" w:cstheme="majorHAnsi"/>
          <w:b/>
          <w:bCs/>
          <w:color w:val="4472C4" w:themeColor="accent1"/>
          <w:sz w:val="20"/>
          <w:szCs w:val="20"/>
        </w:rPr>
        <w:t xml:space="preserve">§ 3 </w:t>
      </w:r>
      <w:r w:rsidR="00FD0AE2">
        <w:rPr>
          <w:rFonts w:asciiTheme="majorHAnsi" w:hAnsiTheme="majorHAnsi" w:cstheme="majorHAnsi"/>
          <w:b/>
          <w:bCs/>
          <w:color w:val="4472C4" w:themeColor="accent1"/>
          <w:sz w:val="20"/>
          <w:szCs w:val="20"/>
        </w:rPr>
        <w:tab/>
      </w:r>
      <w:r w:rsidRPr="00FD0AE2">
        <w:rPr>
          <w:rFonts w:asciiTheme="majorHAnsi" w:hAnsiTheme="majorHAnsi" w:cstheme="majorHAnsi"/>
          <w:b/>
          <w:bCs/>
          <w:color w:val="4472C4" w:themeColor="accent1"/>
          <w:sz w:val="20"/>
          <w:szCs w:val="20"/>
        </w:rPr>
        <w:t>Opłaty</w:t>
      </w:r>
      <w:bookmarkEnd w:id="9"/>
      <w:bookmarkEnd w:id="10"/>
      <w:bookmarkEnd w:id="11"/>
      <w:bookmarkEnd w:id="12"/>
      <w:bookmarkEnd w:id="13"/>
      <w:bookmarkEnd w:id="14"/>
      <w:r w:rsidR="00FD0AE2">
        <w:rPr>
          <w:rFonts w:asciiTheme="majorHAnsi" w:hAnsiTheme="majorHAnsi" w:cstheme="majorHAnsi"/>
          <w:b/>
          <w:bCs/>
          <w:color w:val="4472C4" w:themeColor="accent1"/>
          <w:sz w:val="20"/>
          <w:szCs w:val="20"/>
        </w:rPr>
        <w:t xml:space="preserve"> za </w:t>
      </w:r>
      <w:r w:rsidR="00B827F3">
        <w:rPr>
          <w:rFonts w:asciiTheme="majorHAnsi" w:hAnsiTheme="majorHAnsi" w:cstheme="majorHAnsi"/>
          <w:b/>
          <w:bCs/>
          <w:color w:val="4472C4" w:themeColor="accent1"/>
          <w:sz w:val="20"/>
          <w:szCs w:val="20"/>
        </w:rPr>
        <w:t>wyładunek lub załadunek</w:t>
      </w:r>
      <w:bookmarkEnd w:id="15"/>
    </w:p>
    <w:p w14:paraId="110669FA" w14:textId="77777777" w:rsidR="00FD0AE2" w:rsidRPr="00FD0AE2" w:rsidRDefault="00FD0AE2" w:rsidP="00FD0AE2"/>
    <w:p w14:paraId="52AD46C6" w14:textId="53EE116C" w:rsidR="00932ED9" w:rsidRPr="00932ED9" w:rsidRDefault="00932ED9" w:rsidP="00C07DBF">
      <w:pPr>
        <w:numPr>
          <w:ilvl w:val="0"/>
          <w:numId w:val="4"/>
        </w:numPr>
        <w:shd w:val="clear" w:color="auto" w:fill="ACB9CA" w:themeFill="text2" w:themeFillTint="66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932ED9">
        <w:rPr>
          <w:rFonts w:asciiTheme="majorHAnsi" w:hAnsiTheme="majorHAnsi" w:cstheme="majorHAnsi"/>
          <w:color w:val="000000"/>
          <w:sz w:val="20"/>
          <w:szCs w:val="20"/>
        </w:rPr>
        <w:t xml:space="preserve">Opłaty </w:t>
      </w:r>
      <w:r w:rsidR="00797C39" w:rsidRPr="00797C39">
        <w:rPr>
          <w:rFonts w:asciiTheme="majorHAnsi" w:hAnsiTheme="majorHAnsi" w:cstheme="majorHAnsi"/>
          <w:color w:val="000000"/>
          <w:sz w:val="20"/>
          <w:szCs w:val="20"/>
        </w:rPr>
        <w:t>z</w:t>
      </w:r>
      <w:r w:rsidR="00797C39">
        <w:rPr>
          <w:rFonts w:asciiTheme="majorHAnsi" w:hAnsiTheme="majorHAnsi" w:cstheme="majorHAnsi"/>
          <w:color w:val="000000"/>
          <w:sz w:val="20"/>
          <w:szCs w:val="20"/>
        </w:rPr>
        <w:t>a z</w:t>
      </w:r>
      <w:r w:rsidR="00797C39" w:rsidRPr="00797C39">
        <w:rPr>
          <w:rFonts w:asciiTheme="majorHAnsi" w:hAnsiTheme="majorHAnsi" w:cstheme="majorHAnsi"/>
          <w:color w:val="000000"/>
          <w:sz w:val="20"/>
          <w:szCs w:val="20"/>
        </w:rPr>
        <w:t xml:space="preserve">aładowanie na statek lub wyładowanie ze statku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>pojazdów z własnym napędem i kierowcą</w:t>
      </w:r>
      <w:r w:rsidR="0003081C">
        <w:rPr>
          <w:rFonts w:asciiTheme="majorHAnsi" w:hAnsiTheme="majorHAnsi" w:cstheme="majorHAnsi"/>
          <w:color w:val="000000"/>
          <w:sz w:val="20"/>
          <w:szCs w:val="20"/>
        </w:rPr>
        <w:t>,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 xml:space="preserve"> za </w:t>
      </w:r>
      <w:r w:rsidR="005F3386">
        <w:rPr>
          <w:rFonts w:asciiTheme="majorHAnsi" w:hAnsiTheme="majorHAnsi" w:cstheme="majorHAnsi"/>
          <w:color w:val="000000"/>
          <w:sz w:val="20"/>
          <w:szCs w:val="20"/>
        </w:rPr>
        <w:t xml:space="preserve">jedną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>sztukę:</w:t>
      </w:r>
    </w:p>
    <w:p w14:paraId="5C81085F" w14:textId="50D1F8EF" w:rsidR="00932ED9" w:rsidRPr="00932ED9" w:rsidRDefault="00932ED9" w:rsidP="00E37330">
      <w:pPr>
        <w:numPr>
          <w:ilvl w:val="1"/>
          <w:numId w:val="4"/>
        </w:numPr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932ED9">
        <w:rPr>
          <w:rFonts w:asciiTheme="majorHAnsi" w:hAnsiTheme="majorHAnsi" w:cstheme="majorHAnsi"/>
          <w:color w:val="000000"/>
          <w:sz w:val="20"/>
          <w:szCs w:val="20"/>
        </w:rPr>
        <w:t>samochod</w:t>
      </w:r>
      <w:r w:rsidR="00884366">
        <w:rPr>
          <w:rFonts w:asciiTheme="majorHAnsi" w:hAnsiTheme="majorHAnsi" w:cstheme="majorHAnsi"/>
          <w:color w:val="000000"/>
          <w:sz w:val="20"/>
          <w:szCs w:val="20"/>
        </w:rPr>
        <w:t>y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 xml:space="preserve"> osobowe</w:t>
      </w:r>
    </w:p>
    <w:p w14:paraId="5D2B1AAC" w14:textId="637500D2" w:rsidR="00932ED9" w:rsidRPr="00932ED9" w:rsidRDefault="00932ED9" w:rsidP="00E37330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932ED9">
        <w:rPr>
          <w:rFonts w:asciiTheme="majorHAnsi" w:hAnsiTheme="majorHAnsi" w:cstheme="majorHAnsi"/>
          <w:color w:val="000000"/>
          <w:sz w:val="20"/>
          <w:szCs w:val="20"/>
        </w:rPr>
        <w:t>do</w:t>
      </w:r>
      <w:r w:rsidR="00EE0FCB">
        <w:rPr>
          <w:rFonts w:asciiTheme="majorHAnsi" w:hAnsiTheme="majorHAnsi" w:cstheme="majorHAnsi"/>
          <w:color w:val="000000"/>
          <w:sz w:val="20"/>
          <w:szCs w:val="20"/>
        </w:rPr>
        <w:t xml:space="preserve">70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>000 sztuk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B173C6">
        <w:rPr>
          <w:rFonts w:asciiTheme="majorHAnsi" w:hAnsiTheme="majorHAnsi" w:cstheme="majorHAnsi"/>
          <w:color w:val="000000"/>
          <w:sz w:val="20"/>
          <w:szCs w:val="20"/>
        </w:rPr>
        <w:t>1</w:t>
      </w:r>
      <w:r w:rsidR="00EB3A4F">
        <w:rPr>
          <w:rFonts w:asciiTheme="majorHAnsi" w:hAnsiTheme="majorHAnsi" w:cstheme="majorHAnsi"/>
          <w:color w:val="000000"/>
          <w:sz w:val="20"/>
          <w:szCs w:val="20"/>
        </w:rPr>
        <w:t>6</w:t>
      </w:r>
      <w:r w:rsidR="00B173C6">
        <w:rPr>
          <w:rFonts w:asciiTheme="majorHAnsi" w:hAnsiTheme="majorHAnsi" w:cstheme="majorHAnsi"/>
          <w:color w:val="000000"/>
          <w:sz w:val="20"/>
          <w:szCs w:val="20"/>
        </w:rPr>
        <w:t>,</w:t>
      </w:r>
      <w:r w:rsidR="00EB3A4F">
        <w:rPr>
          <w:rFonts w:asciiTheme="majorHAnsi" w:hAnsiTheme="majorHAnsi" w:cstheme="majorHAnsi"/>
          <w:color w:val="000000"/>
          <w:sz w:val="20"/>
          <w:szCs w:val="20"/>
        </w:rPr>
        <w:t>0</w:t>
      </w:r>
      <w:r w:rsidR="00B173C6">
        <w:rPr>
          <w:rFonts w:asciiTheme="majorHAnsi" w:hAnsiTheme="majorHAnsi" w:cstheme="majorHAnsi"/>
          <w:color w:val="000000"/>
          <w:sz w:val="20"/>
          <w:szCs w:val="20"/>
        </w:rPr>
        <w:t xml:space="preserve">0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>PLN</w:t>
      </w:r>
    </w:p>
    <w:p w14:paraId="59AB237B" w14:textId="3526398E" w:rsidR="00932ED9" w:rsidRPr="00932ED9" w:rsidRDefault="00932ED9" w:rsidP="00E37330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932ED9">
        <w:rPr>
          <w:rFonts w:asciiTheme="majorHAnsi" w:hAnsiTheme="majorHAnsi" w:cstheme="majorHAnsi"/>
          <w:color w:val="000000"/>
          <w:sz w:val="20"/>
          <w:szCs w:val="20"/>
        </w:rPr>
        <w:t xml:space="preserve">od </w:t>
      </w:r>
      <w:r w:rsidR="00EE0FCB">
        <w:rPr>
          <w:rFonts w:asciiTheme="majorHAnsi" w:hAnsiTheme="majorHAnsi" w:cstheme="majorHAnsi"/>
          <w:color w:val="000000"/>
          <w:sz w:val="20"/>
          <w:szCs w:val="20"/>
        </w:rPr>
        <w:t>70</w:t>
      </w:r>
      <w:r w:rsidR="00C343E1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 xml:space="preserve">001 do </w:t>
      </w:r>
      <w:r w:rsidR="00EE0FCB">
        <w:rPr>
          <w:rFonts w:asciiTheme="majorHAnsi" w:hAnsiTheme="majorHAnsi" w:cstheme="majorHAnsi"/>
          <w:color w:val="000000"/>
          <w:sz w:val="20"/>
          <w:szCs w:val="20"/>
        </w:rPr>
        <w:t>140</w:t>
      </w:r>
      <w:r w:rsidR="00C343E1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>000 sztuk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E03C93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2E563A">
        <w:rPr>
          <w:rFonts w:asciiTheme="majorHAnsi" w:hAnsiTheme="majorHAnsi" w:cstheme="majorHAnsi"/>
          <w:color w:val="000000"/>
          <w:sz w:val="20"/>
          <w:szCs w:val="20"/>
        </w:rPr>
        <w:t>13</w:t>
      </w:r>
      <w:r w:rsidR="00B173C6">
        <w:rPr>
          <w:rFonts w:asciiTheme="majorHAnsi" w:hAnsiTheme="majorHAnsi" w:cstheme="majorHAnsi"/>
          <w:color w:val="000000"/>
          <w:sz w:val="20"/>
          <w:szCs w:val="20"/>
        </w:rPr>
        <w:t xml:space="preserve">,00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>PLN</w:t>
      </w:r>
    </w:p>
    <w:p w14:paraId="157D0E36" w14:textId="4BF967A9" w:rsidR="00932ED9" w:rsidRPr="00932ED9" w:rsidRDefault="00932ED9" w:rsidP="00E37330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932ED9">
        <w:rPr>
          <w:rFonts w:asciiTheme="majorHAnsi" w:hAnsiTheme="majorHAnsi" w:cstheme="majorHAnsi"/>
          <w:color w:val="000000"/>
          <w:sz w:val="20"/>
          <w:szCs w:val="20"/>
        </w:rPr>
        <w:t xml:space="preserve">powyżej </w:t>
      </w:r>
      <w:r w:rsidR="00EE0FCB">
        <w:rPr>
          <w:rFonts w:asciiTheme="majorHAnsi" w:hAnsiTheme="majorHAnsi" w:cstheme="majorHAnsi"/>
          <w:color w:val="000000"/>
          <w:sz w:val="20"/>
          <w:szCs w:val="20"/>
        </w:rPr>
        <w:t>140</w:t>
      </w:r>
      <w:r w:rsidR="00C343E1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>000 sztuk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EB3A4F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2E563A">
        <w:rPr>
          <w:rFonts w:asciiTheme="majorHAnsi" w:hAnsiTheme="majorHAnsi" w:cstheme="majorHAnsi"/>
          <w:color w:val="000000"/>
          <w:sz w:val="20"/>
          <w:szCs w:val="20"/>
        </w:rPr>
        <w:t>11</w:t>
      </w:r>
      <w:r w:rsidR="00B173C6">
        <w:rPr>
          <w:rFonts w:asciiTheme="majorHAnsi" w:hAnsiTheme="majorHAnsi" w:cstheme="majorHAnsi"/>
          <w:color w:val="000000"/>
          <w:sz w:val="20"/>
          <w:szCs w:val="20"/>
        </w:rPr>
        <w:t>,00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 xml:space="preserve"> PLN</w:t>
      </w:r>
    </w:p>
    <w:p w14:paraId="7996F000" w14:textId="733FF019" w:rsidR="00932ED9" w:rsidRPr="00932ED9" w:rsidRDefault="00932ED9" w:rsidP="00E37330">
      <w:pPr>
        <w:numPr>
          <w:ilvl w:val="1"/>
          <w:numId w:val="4"/>
        </w:numPr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932ED9">
        <w:rPr>
          <w:rFonts w:asciiTheme="majorHAnsi" w:hAnsiTheme="majorHAnsi" w:cstheme="majorHAnsi"/>
          <w:color w:val="000000"/>
          <w:sz w:val="20"/>
          <w:szCs w:val="20"/>
        </w:rPr>
        <w:t>samochod</w:t>
      </w:r>
      <w:r w:rsidR="00884366">
        <w:rPr>
          <w:rFonts w:asciiTheme="majorHAnsi" w:hAnsiTheme="majorHAnsi" w:cstheme="majorHAnsi"/>
          <w:color w:val="000000"/>
          <w:sz w:val="20"/>
          <w:szCs w:val="20"/>
        </w:rPr>
        <w:t>y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 xml:space="preserve"> ciężarowe</w:t>
      </w:r>
    </w:p>
    <w:p w14:paraId="2E822DA8" w14:textId="46C381D6" w:rsidR="00932ED9" w:rsidRPr="00932ED9" w:rsidRDefault="00932ED9" w:rsidP="00E37330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932ED9">
        <w:rPr>
          <w:rFonts w:asciiTheme="majorHAnsi" w:hAnsiTheme="majorHAnsi" w:cstheme="majorHAnsi"/>
          <w:color w:val="000000"/>
          <w:sz w:val="20"/>
          <w:szCs w:val="20"/>
        </w:rPr>
        <w:t>do</w:t>
      </w:r>
      <w:r w:rsidR="001E6A2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C343E1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FB2D22">
        <w:rPr>
          <w:rFonts w:asciiTheme="majorHAnsi" w:hAnsiTheme="majorHAnsi" w:cstheme="majorHAnsi"/>
          <w:color w:val="000000"/>
          <w:sz w:val="20"/>
          <w:szCs w:val="20"/>
        </w:rPr>
        <w:t xml:space="preserve">70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>000 sztuk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EB3A4F">
        <w:rPr>
          <w:rFonts w:asciiTheme="majorHAnsi" w:hAnsiTheme="majorHAnsi" w:cstheme="majorHAnsi"/>
          <w:color w:val="000000"/>
          <w:sz w:val="20"/>
          <w:szCs w:val="20"/>
        </w:rPr>
        <w:t>30</w:t>
      </w:r>
      <w:r w:rsidR="00FB2D22">
        <w:rPr>
          <w:rFonts w:asciiTheme="majorHAnsi" w:hAnsiTheme="majorHAnsi" w:cstheme="majorHAnsi"/>
          <w:color w:val="000000"/>
          <w:sz w:val="20"/>
          <w:szCs w:val="20"/>
        </w:rPr>
        <w:t xml:space="preserve">,00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>PLN</w:t>
      </w:r>
    </w:p>
    <w:p w14:paraId="531E5109" w14:textId="60B3FB13" w:rsidR="00932ED9" w:rsidRPr="00932ED9" w:rsidRDefault="00932ED9" w:rsidP="00E37330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932ED9">
        <w:rPr>
          <w:rFonts w:asciiTheme="majorHAnsi" w:hAnsiTheme="majorHAnsi" w:cstheme="majorHAnsi"/>
          <w:color w:val="000000"/>
          <w:sz w:val="20"/>
          <w:szCs w:val="20"/>
        </w:rPr>
        <w:t>od</w:t>
      </w:r>
      <w:r w:rsidR="001E6A2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FB2D22">
        <w:rPr>
          <w:rFonts w:asciiTheme="majorHAnsi" w:hAnsiTheme="majorHAnsi" w:cstheme="majorHAnsi"/>
          <w:color w:val="000000"/>
          <w:sz w:val="20"/>
          <w:szCs w:val="20"/>
        </w:rPr>
        <w:t xml:space="preserve"> 70</w:t>
      </w:r>
      <w:r w:rsidR="00C343E1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 xml:space="preserve">001 do </w:t>
      </w:r>
      <w:r w:rsidR="00FB2D22">
        <w:rPr>
          <w:rFonts w:asciiTheme="majorHAnsi" w:hAnsiTheme="majorHAnsi" w:cstheme="majorHAnsi"/>
          <w:color w:val="000000"/>
          <w:sz w:val="20"/>
          <w:szCs w:val="20"/>
        </w:rPr>
        <w:t>150</w:t>
      </w:r>
      <w:r w:rsidR="00C343E1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>000 sztuk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E03C93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EB3A4F">
        <w:rPr>
          <w:rFonts w:asciiTheme="majorHAnsi" w:hAnsiTheme="majorHAnsi" w:cstheme="majorHAnsi"/>
          <w:color w:val="000000"/>
          <w:sz w:val="20"/>
          <w:szCs w:val="20"/>
        </w:rPr>
        <w:t>2</w:t>
      </w:r>
      <w:r w:rsidR="002E563A">
        <w:rPr>
          <w:rFonts w:asciiTheme="majorHAnsi" w:hAnsiTheme="majorHAnsi" w:cstheme="majorHAnsi"/>
          <w:color w:val="000000"/>
          <w:sz w:val="20"/>
          <w:szCs w:val="20"/>
        </w:rPr>
        <w:t>4</w:t>
      </w:r>
      <w:r w:rsidR="00FB2D22">
        <w:rPr>
          <w:rFonts w:asciiTheme="majorHAnsi" w:hAnsiTheme="majorHAnsi" w:cstheme="majorHAnsi"/>
          <w:color w:val="000000"/>
          <w:sz w:val="20"/>
          <w:szCs w:val="20"/>
        </w:rPr>
        <w:t>,</w:t>
      </w:r>
      <w:r w:rsidR="002E563A">
        <w:rPr>
          <w:rFonts w:asciiTheme="majorHAnsi" w:hAnsiTheme="majorHAnsi" w:cstheme="majorHAnsi"/>
          <w:color w:val="000000"/>
          <w:sz w:val="20"/>
          <w:szCs w:val="20"/>
        </w:rPr>
        <w:t>5</w:t>
      </w:r>
      <w:r w:rsidR="00FB2D22">
        <w:rPr>
          <w:rFonts w:asciiTheme="majorHAnsi" w:hAnsiTheme="majorHAnsi" w:cstheme="majorHAnsi"/>
          <w:color w:val="000000"/>
          <w:sz w:val="20"/>
          <w:szCs w:val="20"/>
        </w:rPr>
        <w:t>0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 xml:space="preserve"> PLN</w:t>
      </w:r>
    </w:p>
    <w:p w14:paraId="4D17994A" w14:textId="0083F0A8" w:rsidR="00932ED9" w:rsidRDefault="00932ED9" w:rsidP="00E37330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932ED9">
        <w:rPr>
          <w:rFonts w:asciiTheme="majorHAnsi" w:hAnsiTheme="majorHAnsi" w:cstheme="majorHAnsi"/>
          <w:color w:val="000000"/>
          <w:sz w:val="20"/>
          <w:szCs w:val="20"/>
        </w:rPr>
        <w:t xml:space="preserve">od </w:t>
      </w:r>
      <w:r w:rsidR="00FB2D22">
        <w:rPr>
          <w:rFonts w:asciiTheme="majorHAnsi" w:hAnsiTheme="majorHAnsi" w:cstheme="majorHAnsi"/>
          <w:color w:val="000000"/>
          <w:sz w:val="20"/>
          <w:szCs w:val="20"/>
        </w:rPr>
        <w:t>150</w:t>
      </w:r>
      <w:r w:rsidR="00C343E1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 xml:space="preserve">001 do </w:t>
      </w:r>
      <w:r w:rsidR="00FB2D22">
        <w:rPr>
          <w:rFonts w:asciiTheme="majorHAnsi" w:hAnsiTheme="majorHAnsi" w:cstheme="majorHAnsi"/>
          <w:color w:val="000000"/>
          <w:sz w:val="20"/>
          <w:szCs w:val="20"/>
        </w:rPr>
        <w:t>220</w:t>
      </w:r>
      <w:r w:rsidR="00C343E1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>000 sztuk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E03C93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EB3A4F">
        <w:rPr>
          <w:rFonts w:asciiTheme="majorHAnsi" w:hAnsiTheme="majorHAnsi" w:cstheme="majorHAnsi"/>
          <w:color w:val="000000"/>
          <w:sz w:val="20"/>
          <w:szCs w:val="20"/>
        </w:rPr>
        <w:t>22</w:t>
      </w:r>
      <w:r w:rsidR="00FB2D22">
        <w:rPr>
          <w:rFonts w:asciiTheme="majorHAnsi" w:hAnsiTheme="majorHAnsi" w:cstheme="majorHAnsi"/>
          <w:color w:val="000000"/>
          <w:sz w:val="20"/>
          <w:szCs w:val="20"/>
        </w:rPr>
        <w:t>,00</w:t>
      </w:r>
      <w:r w:rsidR="00EB3A4F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>PLN</w:t>
      </w:r>
    </w:p>
    <w:p w14:paraId="1D2DED37" w14:textId="08B455DF" w:rsidR="00FB2D22" w:rsidRPr="00FB2D22" w:rsidRDefault="00FB2D22" w:rsidP="00FB2D2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FB2D22">
        <w:rPr>
          <w:rFonts w:asciiTheme="majorHAnsi" w:hAnsiTheme="majorHAnsi" w:cstheme="majorHAnsi"/>
          <w:color w:val="000000"/>
          <w:sz w:val="20"/>
          <w:szCs w:val="20"/>
        </w:rPr>
        <w:t>od 220 001 do 300 000 sztuk</w:t>
      </w:r>
      <w:r w:rsidRPr="00FB2D22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FB2D22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FB2D22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FB2D22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FB2D22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FB2D22">
        <w:rPr>
          <w:rFonts w:asciiTheme="majorHAnsi" w:hAnsiTheme="majorHAnsi" w:cstheme="majorHAnsi"/>
          <w:color w:val="000000"/>
          <w:sz w:val="20"/>
          <w:szCs w:val="20"/>
        </w:rPr>
        <w:tab/>
      </w:r>
      <w:r>
        <w:rPr>
          <w:rFonts w:asciiTheme="majorHAnsi" w:hAnsiTheme="majorHAnsi" w:cstheme="majorHAnsi"/>
          <w:color w:val="000000"/>
          <w:sz w:val="20"/>
          <w:szCs w:val="20"/>
        </w:rPr>
        <w:t>2</w:t>
      </w:r>
      <w:r w:rsidR="00EB3A4F">
        <w:rPr>
          <w:rFonts w:asciiTheme="majorHAnsi" w:hAnsiTheme="majorHAnsi" w:cstheme="majorHAnsi"/>
          <w:color w:val="000000"/>
          <w:sz w:val="20"/>
          <w:szCs w:val="20"/>
        </w:rPr>
        <w:t>1</w:t>
      </w:r>
      <w:r w:rsidR="002E563A">
        <w:rPr>
          <w:rFonts w:asciiTheme="majorHAnsi" w:hAnsiTheme="majorHAnsi" w:cstheme="majorHAnsi"/>
          <w:color w:val="000000"/>
          <w:sz w:val="20"/>
          <w:szCs w:val="20"/>
        </w:rPr>
        <w:t>,5</w:t>
      </w:r>
      <w:r>
        <w:rPr>
          <w:rFonts w:asciiTheme="majorHAnsi" w:hAnsiTheme="majorHAnsi" w:cstheme="majorHAnsi"/>
          <w:color w:val="000000"/>
          <w:sz w:val="20"/>
          <w:szCs w:val="20"/>
        </w:rPr>
        <w:t>0</w:t>
      </w:r>
      <w:r w:rsidRPr="00FB2D22">
        <w:rPr>
          <w:rFonts w:asciiTheme="majorHAnsi" w:hAnsiTheme="majorHAnsi" w:cstheme="majorHAnsi"/>
          <w:color w:val="000000"/>
          <w:sz w:val="20"/>
          <w:szCs w:val="20"/>
        </w:rPr>
        <w:t xml:space="preserve"> PLN</w:t>
      </w:r>
    </w:p>
    <w:p w14:paraId="1D608F9D" w14:textId="7DA24B80" w:rsidR="00932ED9" w:rsidRPr="00932ED9" w:rsidRDefault="00932ED9" w:rsidP="00E37330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932ED9">
        <w:rPr>
          <w:rFonts w:asciiTheme="majorHAnsi" w:hAnsiTheme="majorHAnsi" w:cstheme="majorHAnsi"/>
          <w:color w:val="000000"/>
          <w:sz w:val="20"/>
          <w:szCs w:val="20"/>
        </w:rPr>
        <w:t xml:space="preserve">powyżej </w:t>
      </w:r>
      <w:r w:rsidR="00FB2D22">
        <w:rPr>
          <w:rFonts w:asciiTheme="majorHAnsi" w:hAnsiTheme="majorHAnsi" w:cstheme="majorHAnsi"/>
          <w:color w:val="000000"/>
          <w:sz w:val="20"/>
          <w:szCs w:val="20"/>
        </w:rPr>
        <w:t xml:space="preserve">300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>000 sztuk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0E0ECC">
        <w:rPr>
          <w:rFonts w:asciiTheme="majorHAnsi" w:hAnsiTheme="majorHAnsi" w:cstheme="majorHAnsi"/>
          <w:color w:val="000000"/>
          <w:sz w:val="20"/>
          <w:szCs w:val="20"/>
        </w:rPr>
        <w:t xml:space="preserve"> 2</w:t>
      </w:r>
      <w:r w:rsidR="002E563A">
        <w:rPr>
          <w:rFonts w:asciiTheme="majorHAnsi" w:hAnsiTheme="majorHAnsi" w:cstheme="majorHAnsi"/>
          <w:color w:val="000000"/>
          <w:sz w:val="20"/>
          <w:szCs w:val="20"/>
        </w:rPr>
        <w:t>1</w:t>
      </w:r>
      <w:r w:rsidR="000E0ECC">
        <w:rPr>
          <w:rFonts w:asciiTheme="majorHAnsi" w:hAnsiTheme="majorHAnsi" w:cstheme="majorHAnsi"/>
          <w:color w:val="000000"/>
          <w:sz w:val="20"/>
          <w:szCs w:val="20"/>
        </w:rPr>
        <w:t>,</w:t>
      </w:r>
      <w:r w:rsidR="00EB3A4F">
        <w:rPr>
          <w:rFonts w:asciiTheme="majorHAnsi" w:hAnsiTheme="majorHAnsi" w:cstheme="majorHAnsi"/>
          <w:color w:val="000000"/>
          <w:sz w:val="20"/>
          <w:szCs w:val="20"/>
        </w:rPr>
        <w:t>0</w:t>
      </w:r>
      <w:r w:rsidR="000E0ECC">
        <w:rPr>
          <w:rFonts w:asciiTheme="majorHAnsi" w:hAnsiTheme="majorHAnsi" w:cstheme="majorHAnsi"/>
          <w:color w:val="000000"/>
          <w:sz w:val="20"/>
          <w:szCs w:val="20"/>
        </w:rPr>
        <w:t>0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>PLN</w:t>
      </w:r>
    </w:p>
    <w:p w14:paraId="1C724ACF" w14:textId="30390759" w:rsidR="00932ED9" w:rsidRPr="00932ED9" w:rsidRDefault="00932ED9" w:rsidP="00E37330">
      <w:pPr>
        <w:numPr>
          <w:ilvl w:val="1"/>
          <w:numId w:val="4"/>
        </w:numPr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932ED9">
        <w:rPr>
          <w:rFonts w:asciiTheme="majorHAnsi" w:hAnsiTheme="majorHAnsi" w:cstheme="majorHAnsi"/>
          <w:color w:val="000000"/>
          <w:sz w:val="20"/>
          <w:szCs w:val="20"/>
        </w:rPr>
        <w:t>autobus</w:t>
      </w:r>
      <w:r w:rsidR="00884366">
        <w:rPr>
          <w:rFonts w:asciiTheme="majorHAnsi" w:hAnsiTheme="majorHAnsi" w:cstheme="majorHAnsi"/>
          <w:color w:val="000000"/>
          <w:sz w:val="20"/>
          <w:szCs w:val="20"/>
        </w:rPr>
        <w:t>y</w:t>
      </w:r>
      <w:r w:rsidR="000E0ECC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0E0ECC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0E0ECC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0E0ECC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0E0ECC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0E0ECC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0E0ECC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0E0ECC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0E0ECC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EB3A4F">
        <w:rPr>
          <w:rFonts w:asciiTheme="majorHAnsi" w:hAnsiTheme="majorHAnsi" w:cstheme="majorHAnsi"/>
          <w:color w:val="000000"/>
          <w:sz w:val="20"/>
          <w:szCs w:val="20"/>
        </w:rPr>
        <w:t>30,00</w:t>
      </w:r>
      <w:r w:rsidR="000E0ECC" w:rsidRPr="00932ED9">
        <w:rPr>
          <w:rFonts w:asciiTheme="majorHAnsi" w:hAnsiTheme="majorHAnsi" w:cstheme="majorHAnsi"/>
          <w:color w:val="000000"/>
          <w:sz w:val="20"/>
          <w:szCs w:val="20"/>
        </w:rPr>
        <w:t xml:space="preserve"> PLN</w:t>
      </w:r>
    </w:p>
    <w:p w14:paraId="67ACB9B1" w14:textId="4F3C0370" w:rsidR="00932ED9" w:rsidRPr="00932ED9" w:rsidRDefault="00932ED9" w:rsidP="00E3733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3CA4CD2C" w14:textId="77777777" w:rsidR="00266801" w:rsidRPr="00266801" w:rsidRDefault="00266801" w:rsidP="00CF067D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color w:val="000000"/>
          <w:sz w:val="20"/>
          <w:szCs w:val="20"/>
          <w:u w:val="single"/>
        </w:rPr>
      </w:pPr>
      <w:r w:rsidRPr="00266801">
        <w:rPr>
          <w:rFonts w:asciiTheme="majorHAnsi" w:hAnsiTheme="majorHAnsi" w:cstheme="majorHAnsi"/>
          <w:color w:val="000000"/>
          <w:sz w:val="20"/>
          <w:szCs w:val="20"/>
        </w:rPr>
        <w:br/>
      </w:r>
      <w:r w:rsidRPr="00266801">
        <w:rPr>
          <w:rFonts w:asciiTheme="majorHAnsi" w:hAnsiTheme="majorHAnsi" w:cstheme="majorHAnsi"/>
          <w:color w:val="000000"/>
          <w:sz w:val="20"/>
          <w:szCs w:val="20"/>
          <w:u w:val="single"/>
        </w:rPr>
        <w:t>Objaśnienia:</w:t>
      </w:r>
    </w:p>
    <w:p w14:paraId="195FDC4A" w14:textId="02D48BD0" w:rsidR="00266801" w:rsidRDefault="00266801" w:rsidP="00D74DB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iCs/>
          <w:color w:val="000000"/>
          <w:sz w:val="20"/>
          <w:szCs w:val="20"/>
        </w:rPr>
      </w:pPr>
      <w:r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Rodzaj pojazdu określa się na podstawie danych zawartych w dowodzie rejestracyjnym lub równoważnym dokumencie. </w:t>
      </w:r>
    </w:p>
    <w:p w14:paraId="5E9096EA" w14:textId="0403378F" w:rsidR="00EA431A" w:rsidRPr="00C01237" w:rsidRDefault="00EA431A" w:rsidP="00D74DB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iCs/>
          <w:color w:val="000000"/>
          <w:sz w:val="20"/>
          <w:szCs w:val="20"/>
        </w:rPr>
      </w:pPr>
      <w:r w:rsidRPr="00EA431A">
        <w:rPr>
          <w:rFonts w:asciiTheme="majorHAnsi" w:hAnsiTheme="majorHAnsi" w:cstheme="majorHAnsi"/>
          <w:i/>
          <w:iCs/>
          <w:color w:val="000000"/>
          <w:sz w:val="20"/>
          <w:szCs w:val="20"/>
        </w:rPr>
        <w:t>W przypadku załadowania lub wyładowania pojazdów z kierowcą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</w:t>
      </w:r>
      <w:r w:rsidRPr="00EA431A">
        <w:rPr>
          <w:rFonts w:asciiTheme="majorHAnsi" w:hAnsiTheme="majorHAnsi" w:cstheme="majorHAnsi"/>
          <w:i/>
          <w:iCs/>
          <w:color w:val="000000"/>
          <w:sz w:val="20"/>
          <w:szCs w:val="20"/>
        </w:rPr>
        <w:t>Zarząd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cy Terminala </w:t>
      </w:r>
      <w:r w:rsidRPr="00EA431A">
        <w:rPr>
          <w:rFonts w:asciiTheme="majorHAnsi" w:hAnsiTheme="majorHAnsi" w:cstheme="majorHAnsi"/>
          <w:i/>
          <w:iCs/>
          <w:color w:val="000000"/>
          <w:sz w:val="20"/>
          <w:szCs w:val="20"/>
        </w:rPr>
        <w:t>pobiera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się</w:t>
      </w:r>
      <w:r w:rsidRPr="00EA431A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opłatę </w:t>
      </w:r>
      <w:r w:rsidRPr="00C01237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ustaloną w § 3 ust. 1 </w:t>
      </w:r>
      <w:r w:rsidR="00CF067D" w:rsidRPr="00C01237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Taryfy </w:t>
      </w:r>
      <w:r w:rsidRPr="00C01237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powiększoną o 100%. </w:t>
      </w:r>
    </w:p>
    <w:p w14:paraId="47CF59C2" w14:textId="3A734E33" w:rsidR="00EB0B3E" w:rsidRDefault="00EB0B3E" w:rsidP="00D74DBA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iCs/>
          <w:color w:val="000000"/>
          <w:sz w:val="20"/>
          <w:szCs w:val="20"/>
        </w:rPr>
      </w:pPr>
      <w:r w:rsidRPr="00C01237">
        <w:rPr>
          <w:rFonts w:asciiTheme="majorHAnsi" w:hAnsiTheme="majorHAnsi" w:cstheme="majorHAnsi"/>
          <w:i/>
          <w:iCs/>
          <w:color w:val="000000"/>
          <w:sz w:val="20"/>
          <w:szCs w:val="20"/>
        </w:rPr>
        <w:t>Ustalone w § 3 ust.1</w:t>
      </w:r>
      <w:r w:rsidR="006C03FA" w:rsidRPr="00C01237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Taryfy</w:t>
      </w:r>
      <w:r w:rsidRPr="00C01237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przedział</w:t>
      </w:r>
      <w:r w:rsidR="009661F3" w:rsidRPr="00C01237">
        <w:rPr>
          <w:rFonts w:asciiTheme="majorHAnsi" w:hAnsiTheme="majorHAnsi" w:cstheme="majorHAnsi"/>
          <w:i/>
          <w:iCs/>
          <w:color w:val="000000"/>
          <w:sz w:val="20"/>
          <w:szCs w:val="20"/>
        </w:rPr>
        <w:t>y</w:t>
      </w:r>
      <w:r w:rsidRPr="00C01237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ilości sztuk pojazdów obliczane są odrębnie </w:t>
      </w:r>
      <w:r w:rsidR="007D5C27" w:rsidRPr="00C01237">
        <w:rPr>
          <w:rFonts w:asciiTheme="majorHAnsi" w:hAnsiTheme="majorHAnsi" w:cstheme="majorHAnsi"/>
          <w:i/>
          <w:iCs/>
          <w:color w:val="000000"/>
          <w:sz w:val="20"/>
          <w:szCs w:val="20"/>
        </w:rPr>
        <w:t>dla</w:t>
      </w:r>
      <w:r w:rsidR="009661F3" w:rsidRPr="00C01237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okresu</w:t>
      </w:r>
      <w:r w:rsidR="007D5C27" w:rsidRPr="00C01237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kolejnych 12 miesięcy</w:t>
      </w:r>
      <w:r w:rsidR="009661F3" w:rsidRPr="00C01237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i</w:t>
      </w:r>
      <w:r w:rsidRPr="00C01237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odrębnie</w:t>
      </w:r>
      <w:r w:rsidR="001E6A2C" w:rsidRPr="00C01237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</w:t>
      </w:r>
      <w:r w:rsidRPr="00C01237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dla każdego z armatorów. Stawka za </w:t>
      </w:r>
      <w:r w:rsidR="006C03FA" w:rsidRPr="00C01237">
        <w:rPr>
          <w:rFonts w:asciiTheme="majorHAnsi" w:hAnsiTheme="majorHAnsi" w:cstheme="majorHAnsi"/>
          <w:i/>
          <w:iCs/>
          <w:color w:val="000000"/>
          <w:sz w:val="20"/>
          <w:szCs w:val="20"/>
        </w:rPr>
        <w:t>załadowanie na statek lub wyładowanie ze statku</w:t>
      </w:r>
      <w:r w:rsidRPr="00C01237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pojazd</w:t>
      </w:r>
      <w:r w:rsidR="006C03FA" w:rsidRPr="00C01237">
        <w:rPr>
          <w:rFonts w:asciiTheme="majorHAnsi" w:hAnsiTheme="majorHAnsi" w:cstheme="majorHAnsi"/>
          <w:i/>
          <w:iCs/>
          <w:color w:val="000000"/>
          <w:sz w:val="20"/>
          <w:szCs w:val="20"/>
        </w:rPr>
        <w:t>ów określonych</w:t>
      </w:r>
      <w:r w:rsidRPr="00C01237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</w:t>
      </w:r>
      <w:r w:rsidR="006C03FA" w:rsidRPr="00C01237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w § 3 ust.1 Taryfy </w:t>
      </w:r>
      <w:r w:rsidRPr="00C01237">
        <w:rPr>
          <w:rFonts w:asciiTheme="majorHAnsi" w:hAnsiTheme="majorHAnsi" w:cstheme="majorHAnsi"/>
          <w:i/>
          <w:iCs/>
          <w:color w:val="000000"/>
          <w:sz w:val="20"/>
          <w:szCs w:val="20"/>
        </w:rPr>
        <w:t>po przekroczeniu poszczególnego progu ilościowego dotyczy tylko ilości sztuk w danym</w:t>
      </w:r>
      <w:r w:rsidR="00E44DA9" w:rsidRPr="00C01237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okresie i</w:t>
      </w:r>
      <w:r w:rsidRPr="00C01237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przedziale</w:t>
      </w:r>
      <w:r w:rsidR="006C03FA" w:rsidRPr="00C01237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i nie ma</w:t>
      </w:r>
      <w:r w:rsidR="006C03FA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zastosowania do pojazdów w </w:t>
      </w:r>
      <w:r w:rsidRPr="00EB0B3E">
        <w:rPr>
          <w:rFonts w:asciiTheme="majorHAnsi" w:hAnsiTheme="majorHAnsi" w:cstheme="majorHAnsi"/>
          <w:i/>
          <w:iCs/>
          <w:color w:val="000000"/>
          <w:sz w:val="20"/>
          <w:szCs w:val="20"/>
        </w:rPr>
        <w:t>przedział</w:t>
      </w:r>
      <w:r w:rsidR="006C03FA">
        <w:rPr>
          <w:rFonts w:asciiTheme="majorHAnsi" w:hAnsiTheme="majorHAnsi" w:cstheme="majorHAnsi"/>
          <w:i/>
          <w:iCs/>
          <w:color w:val="000000"/>
          <w:sz w:val="20"/>
          <w:szCs w:val="20"/>
        </w:rPr>
        <w:t>ach</w:t>
      </w:r>
      <w:r w:rsidRPr="00EB0B3E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</w:t>
      </w:r>
      <w:r w:rsidR="006C03FA">
        <w:rPr>
          <w:rFonts w:asciiTheme="majorHAnsi" w:hAnsiTheme="majorHAnsi" w:cstheme="majorHAnsi"/>
          <w:i/>
          <w:iCs/>
          <w:color w:val="000000"/>
          <w:sz w:val="20"/>
          <w:szCs w:val="20"/>
        </w:rPr>
        <w:t>ilościowych wcześniej</w:t>
      </w:r>
      <w:r w:rsidRPr="00EB0B3E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przekroczonych.</w:t>
      </w:r>
    </w:p>
    <w:p w14:paraId="00DDB14A" w14:textId="77777777" w:rsidR="00CF067D" w:rsidRPr="00CF067D" w:rsidRDefault="00CF067D" w:rsidP="00CF067D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52B67BB3" w14:textId="317361F0" w:rsidR="00932ED9" w:rsidRPr="00932ED9" w:rsidRDefault="00932ED9" w:rsidP="00C07DBF">
      <w:pPr>
        <w:numPr>
          <w:ilvl w:val="0"/>
          <w:numId w:val="4"/>
        </w:numPr>
        <w:shd w:val="clear" w:color="auto" w:fill="ACB9CA" w:themeFill="text2" w:themeFillTint="66"/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932ED9">
        <w:rPr>
          <w:rFonts w:asciiTheme="majorHAnsi" w:hAnsiTheme="majorHAnsi" w:cstheme="majorHAnsi"/>
          <w:color w:val="000000"/>
          <w:sz w:val="20"/>
          <w:szCs w:val="20"/>
        </w:rPr>
        <w:t xml:space="preserve">Opłaty za </w:t>
      </w:r>
      <w:r w:rsidR="00797C39" w:rsidRPr="00797C39">
        <w:rPr>
          <w:rFonts w:asciiTheme="majorHAnsi" w:hAnsiTheme="majorHAnsi" w:cstheme="majorHAnsi"/>
          <w:color w:val="000000"/>
          <w:sz w:val="20"/>
          <w:szCs w:val="20"/>
        </w:rPr>
        <w:t xml:space="preserve">załadowanie na statek lub wyładowanie ze statku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 xml:space="preserve">jednostek tocznych w systemie ro-ro </w:t>
      </w:r>
      <w:r w:rsidR="00CA4481">
        <w:rPr>
          <w:rFonts w:asciiTheme="majorHAnsi" w:hAnsiTheme="majorHAnsi" w:cstheme="majorHAnsi"/>
          <w:color w:val="000000"/>
          <w:sz w:val="20"/>
          <w:szCs w:val="20"/>
        </w:rPr>
        <w:t>przez</w:t>
      </w:r>
      <w:r w:rsidR="00CA4481" w:rsidRPr="00932ED9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>Zarząd</w:t>
      </w:r>
      <w:r w:rsidR="0003081C">
        <w:rPr>
          <w:rFonts w:asciiTheme="majorHAnsi" w:hAnsiTheme="majorHAnsi" w:cstheme="majorHAnsi"/>
          <w:color w:val="000000"/>
          <w:sz w:val="20"/>
          <w:szCs w:val="20"/>
        </w:rPr>
        <w:t>c</w:t>
      </w:r>
      <w:r w:rsidR="00CA4481">
        <w:rPr>
          <w:rFonts w:asciiTheme="majorHAnsi" w:hAnsiTheme="majorHAnsi" w:cstheme="majorHAnsi"/>
          <w:color w:val="000000"/>
          <w:sz w:val="20"/>
          <w:szCs w:val="20"/>
        </w:rPr>
        <w:t>ę</w:t>
      </w:r>
      <w:r w:rsidR="0003081C">
        <w:rPr>
          <w:rFonts w:asciiTheme="majorHAnsi" w:hAnsiTheme="majorHAnsi" w:cstheme="majorHAnsi"/>
          <w:color w:val="000000"/>
          <w:sz w:val="20"/>
          <w:szCs w:val="20"/>
        </w:rPr>
        <w:t xml:space="preserve"> Terminala,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>za</w:t>
      </w:r>
      <w:r w:rsidR="0003081C">
        <w:rPr>
          <w:rFonts w:asciiTheme="majorHAnsi" w:hAnsiTheme="majorHAnsi" w:cstheme="majorHAnsi"/>
          <w:color w:val="000000"/>
          <w:sz w:val="20"/>
          <w:szCs w:val="20"/>
        </w:rPr>
        <w:t xml:space="preserve"> jedną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 xml:space="preserve"> sztukę:</w:t>
      </w:r>
    </w:p>
    <w:p w14:paraId="3DB4666F" w14:textId="49EFD608" w:rsidR="00932ED9" w:rsidRPr="00932ED9" w:rsidRDefault="00932ED9" w:rsidP="00657C9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932ED9">
        <w:rPr>
          <w:rFonts w:asciiTheme="majorHAnsi" w:hAnsiTheme="majorHAnsi" w:cstheme="majorHAnsi"/>
          <w:color w:val="000000"/>
          <w:sz w:val="20"/>
          <w:szCs w:val="20"/>
        </w:rPr>
        <w:t xml:space="preserve">do </w:t>
      </w:r>
      <w:r w:rsidR="000F0614">
        <w:rPr>
          <w:rFonts w:asciiTheme="majorHAnsi" w:hAnsiTheme="majorHAnsi" w:cstheme="majorHAnsi"/>
          <w:color w:val="000000"/>
          <w:sz w:val="20"/>
          <w:szCs w:val="20"/>
        </w:rPr>
        <w:t>5</w:t>
      </w:r>
      <w:r w:rsidR="00C343E1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>000 sztuk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0F0614">
        <w:rPr>
          <w:rFonts w:asciiTheme="majorHAnsi" w:hAnsiTheme="majorHAnsi" w:cstheme="majorHAnsi"/>
          <w:color w:val="000000"/>
          <w:sz w:val="20"/>
          <w:szCs w:val="20"/>
        </w:rPr>
        <w:t>5</w:t>
      </w:r>
      <w:r w:rsidR="00EB3A4F">
        <w:rPr>
          <w:rFonts w:asciiTheme="majorHAnsi" w:hAnsiTheme="majorHAnsi" w:cstheme="majorHAnsi"/>
          <w:color w:val="000000"/>
          <w:sz w:val="20"/>
          <w:szCs w:val="20"/>
        </w:rPr>
        <w:t>5</w:t>
      </w:r>
      <w:r w:rsidR="000F0614">
        <w:rPr>
          <w:rFonts w:asciiTheme="majorHAnsi" w:hAnsiTheme="majorHAnsi" w:cstheme="majorHAnsi"/>
          <w:color w:val="000000"/>
          <w:sz w:val="20"/>
          <w:szCs w:val="20"/>
        </w:rPr>
        <w:t>,</w:t>
      </w:r>
      <w:r w:rsidR="00EB3A4F">
        <w:rPr>
          <w:rFonts w:asciiTheme="majorHAnsi" w:hAnsiTheme="majorHAnsi" w:cstheme="majorHAnsi"/>
          <w:color w:val="000000"/>
          <w:sz w:val="20"/>
          <w:szCs w:val="20"/>
        </w:rPr>
        <w:t>0</w:t>
      </w:r>
      <w:r w:rsidR="000F0614">
        <w:rPr>
          <w:rFonts w:asciiTheme="majorHAnsi" w:hAnsiTheme="majorHAnsi" w:cstheme="majorHAnsi"/>
          <w:color w:val="000000"/>
          <w:sz w:val="20"/>
          <w:szCs w:val="20"/>
        </w:rPr>
        <w:t xml:space="preserve">0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>PLN</w:t>
      </w:r>
    </w:p>
    <w:p w14:paraId="4CCA7316" w14:textId="00E8D1E8" w:rsidR="00932ED9" w:rsidRPr="00932ED9" w:rsidRDefault="00932ED9" w:rsidP="00657C9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932ED9">
        <w:rPr>
          <w:rFonts w:asciiTheme="majorHAnsi" w:hAnsiTheme="majorHAnsi" w:cstheme="majorHAnsi"/>
          <w:color w:val="000000"/>
          <w:sz w:val="20"/>
          <w:szCs w:val="20"/>
        </w:rPr>
        <w:t xml:space="preserve">od </w:t>
      </w:r>
      <w:r w:rsidR="000F0614">
        <w:rPr>
          <w:rFonts w:asciiTheme="majorHAnsi" w:hAnsiTheme="majorHAnsi" w:cstheme="majorHAnsi"/>
          <w:color w:val="000000"/>
          <w:sz w:val="20"/>
          <w:szCs w:val="20"/>
        </w:rPr>
        <w:t xml:space="preserve">5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 xml:space="preserve">001 do </w:t>
      </w:r>
      <w:r w:rsidR="000F0614">
        <w:rPr>
          <w:rFonts w:asciiTheme="majorHAnsi" w:hAnsiTheme="majorHAnsi" w:cstheme="majorHAnsi"/>
          <w:color w:val="000000"/>
          <w:sz w:val="20"/>
          <w:szCs w:val="20"/>
        </w:rPr>
        <w:t>10</w:t>
      </w:r>
      <w:r w:rsidR="00C343E1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>000 sztuk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2E563A">
        <w:rPr>
          <w:rFonts w:asciiTheme="majorHAnsi" w:hAnsiTheme="majorHAnsi" w:cstheme="majorHAnsi"/>
          <w:color w:val="000000"/>
          <w:sz w:val="20"/>
          <w:szCs w:val="20"/>
        </w:rPr>
        <w:t>48</w:t>
      </w:r>
      <w:r w:rsidR="000F0614">
        <w:rPr>
          <w:rFonts w:asciiTheme="majorHAnsi" w:hAnsiTheme="majorHAnsi" w:cstheme="majorHAnsi"/>
          <w:color w:val="000000"/>
          <w:sz w:val="20"/>
          <w:szCs w:val="20"/>
        </w:rPr>
        <w:t>,</w:t>
      </w:r>
      <w:r w:rsidR="00EB3A4F">
        <w:rPr>
          <w:rFonts w:asciiTheme="majorHAnsi" w:hAnsiTheme="majorHAnsi" w:cstheme="majorHAnsi"/>
          <w:color w:val="000000"/>
          <w:sz w:val="20"/>
          <w:szCs w:val="20"/>
        </w:rPr>
        <w:t>0</w:t>
      </w:r>
      <w:r w:rsidR="000F0614">
        <w:rPr>
          <w:rFonts w:asciiTheme="majorHAnsi" w:hAnsiTheme="majorHAnsi" w:cstheme="majorHAnsi"/>
          <w:color w:val="000000"/>
          <w:sz w:val="20"/>
          <w:szCs w:val="20"/>
        </w:rPr>
        <w:t xml:space="preserve">0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>PLN</w:t>
      </w:r>
    </w:p>
    <w:p w14:paraId="0DADE6C4" w14:textId="70BEC192" w:rsidR="00932ED9" w:rsidRPr="00932ED9" w:rsidRDefault="00932ED9" w:rsidP="00657C9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932ED9">
        <w:rPr>
          <w:rFonts w:asciiTheme="majorHAnsi" w:hAnsiTheme="majorHAnsi" w:cstheme="majorHAnsi"/>
          <w:color w:val="000000"/>
          <w:sz w:val="20"/>
          <w:szCs w:val="20"/>
        </w:rPr>
        <w:t xml:space="preserve">od </w:t>
      </w:r>
      <w:r w:rsidR="000F0614">
        <w:rPr>
          <w:rFonts w:asciiTheme="majorHAnsi" w:hAnsiTheme="majorHAnsi" w:cstheme="majorHAnsi"/>
          <w:color w:val="000000"/>
          <w:sz w:val="20"/>
          <w:szCs w:val="20"/>
        </w:rPr>
        <w:t xml:space="preserve">10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 xml:space="preserve">001 do </w:t>
      </w:r>
      <w:r w:rsidR="000F0614">
        <w:rPr>
          <w:rFonts w:asciiTheme="majorHAnsi" w:hAnsiTheme="majorHAnsi" w:cstheme="majorHAnsi"/>
          <w:color w:val="000000"/>
          <w:sz w:val="20"/>
          <w:szCs w:val="20"/>
        </w:rPr>
        <w:t>15</w:t>
      </w:r>
      <w:r w:rsidR="00C343E1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>000 sztuk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2E563A">
        <w:rPr>
          <w:rFonts w:asciiTheme="majorHAnsi" w:hAnsiTheme="majorHAnsi" w:cstheme="majorHAnsi"/>
          <w:color w:val="000000"/>
          <w:sz w:val="20"/>
          <w:szCs w:val="20"/>
        </w:rPr>
        <w:t>46</w:t>
      </w:r>
      <w:r w:rsidR="00EB3A4F">
        <w:rPr>
          <w:rFonts w:asciiTheme="majorHAnsi" w:hAnsiTheme="majorHAnsi" w:cstheme="majorHAnsi"/>
          <w:color w:val="000000"/>
          <w:sz w:val="20"/>
          <w:szCs w:val="20"/>
        </w:rPr>
        <w:t>,00</w:t>
      </w:r>
      <w:r w:rsidR="000F0614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>PLN</w:t>
      </w:r>
    </w:p>
    <w:p w14:paraId="637AA386" w14:textId="6D6F06F4" w:rsidR="00932ED9" w:rsidRPr="00932ED9" w:rsidRDefault="00932ED9" w:rsidP="00657C9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932ED9">
        <w:rPr>
          <w:rFonts w:asciiTheme="majorHAnsi" w:hAnsiTheme="majorHAnsi" w:cstheme="majorHAnsi"/>
          <w:color w:val="000000"/>
          <w:sz w:val="20"/>
          <w:szCs w:val="20"/>
        </w:rPr>
        <w:t xml:space="preserve">od </w:t>
      </w:r>
      <w:r w:rsidR="000F0614">
        <w:rPr>
          <w:rFonts w:asciiTheme="majorHAnsi" w:hAnsiTheme="majorHAnsi" w:cstheme="majorHAnsi"/>
          <w:color w:val="000000"/>
          <w:sz w:val="20"/>
          <w:szCs w:val="20"/>
        </w:rPr>
        <w:t xml:space="preserve"> 15</w:t>
      </w:r>
      <w:r w:rsidR="00C343E1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 xml:space="preserve">001 do </w:t>
      </w:r>
      <w:r w:rsidR="000F0614">
        <w:rPr>
          <w:rFonts w:asciiTheme="majorHAnsi" w:hAnsiTheme="majorHAnsi" w:cstheme="majorHAnsi"/>
          <w:color w:val="000000"/>
          <w:sz w:val="20"/>
          <w:szCs w:val="20"/>
        </w:rPr>
        <w:t xml:space="preserve"> 20</w:t>
      </w:r>
      <w:r w:rsidR="00C343E1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>000 sztuk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EB3A4F">
        <w:rPr>
          <w:rFonts w:asciiTheme="majorHAnsi" w:hAnsiTheme="majorHAnsi" w:cstheme="majorHAnsi"/>
          <w:color w:val="000000"/>
          <w:sz w:val="20"/>
          <w:szCs w:val="20"/>
        </w:rPr>
        <w:t>45,00</w:t>
      </w:r>
      <w:r w:rsidR="000F0614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>PLN</w:t>
      </w:r>
    </w:p>
    <w:p w14:paraId="72E03FF7" w14:textId="32035A6E" w:rsidR="00932ED9" w:rsidRDefault="00932ED9" w:rsidP="00657C9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932ED9">
        <w:rPr>
          <w:rFonts w:asciiTheme="majorHAnsi" w:hAnsiTheme="majorHAnsi" w:cstheme="majorHAnsi"/>
          <w:color w:val="000000"/>
          <w:sz w:val="20"/>
          <w:szCs w:val="20"/>
        </w:rPr>
        <w:t xml:space="preserve">powyżej </w:t>
      </w:r>
      <w:r w:rsidR="000F0614">
        <w:rPr>
          <w:rFonts w:asciiTheme="majorHAnsi" w:hAnsiTheme="majorHAnsi" w:cstheme="majorHAnsi"/>
          <w:color w:val="000000"/>
          <w:sz w:val="20"/>
          <w:szCs w:val="20"/>
        </w:rPr>
        <w:t xml:space="preserve"> 20</w:t>
      </w:r>
      <w:r w:rsidR="00C343E1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>000 sztuk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EB3A4F">
        <w:rPr>
          <w:rFonts w:asciiTheme="majorHAnsi" w:hAnsiTheme="majorHAnsi" w:cstheme="majorHAnsi"/>
          <w:color w:val="000000"/>
          <w:sz w:val="20"/>
          <w:szCs w:val="20"/>
        </w:rPr>
        <w:t>43,00</w:t>
      </w:r>
      <w:r w:rsidR="000F0614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>PLN</w:t>
      </w:r>
    </w:p>
    <w:p w14:paraId="69194EC0" w14:textId="77777777" w:rsidR="006C03FA" w:rsidRPr="006C03FA" w:rsidRDefault="006C03FA" w:rsidP="00CF067D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color w:val="000000"/>
          <w:sz w:val="20"/>
          <w:szCs w:val="20"/>
          <w:u w:val="single"/>
        </w:rPr>
      </w:pPr>
      <w:r w:rsidRPr="006C03FA">
        <w:rPr>
          <w:rFonts w:asciiTheme="majorHAnsi" w:hAnsiTheme="majorHAnsi" w:cstheme="majorHAnsi"/>
          <w:color w:val="000000"/>
          <w:sz w:val="20"/>
          <w:szCs w:val="20"/>
        </w:rPr>
        <w:lastRenderedPageBreak/>
        <w:br/>
      </w:r>
      <w:r w:rsidRPr="006C03FA">
        <w:rPr>
          <w:rFonts w:asciiTheme="majorHAnsi" w:hAnsiTheme="majorHAnsi" w:cstheme="majorHAnsi"/>
          <w:color w:val="000000"/>
          <w:sz w:val="20"/>
          <w:szCs w:val="20"/>
          <w:u w:val="single"/>
        </w:rPr>
        <w:t>Objaśnienia:</w:t>
      </w:r>
    </w:p>
    <w:p w14:paraId="7A5ABF12" w14:textId="3280F574" w:rsidR="006C03FA" w:rsidRDefault="006C03FA" w:rsidP="00D74DB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iCs/>
          <w:color w:val="000000"/>
          <w:sz w:val="20"/>
          <w:szCs w:val="20"/>
        </w:rPr>
      </w:pPr>
      <w:r w:rsidRPr="006C03FA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Ustalone </w:t>
      </w:r>
      <w:r w:rsidRPr="00C01237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w § 3 ust.2 Taryfy przedziału ilości sztuk pojazdów obliczane są odrębnie </w:t>
      </w:r>
      <w:r w:rsidR="00CA4481" w:rsidRPr="00C01237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dla okresu kolejnych 12 miesięcy i </w:t>
      </w:r>
      <w:r w:rsidRPr="00C01237">
        <w:rPr>
          <w:rFonts w:asciiTheme="majorHAnsi" w:hAnsiTheme="majorHAnsi" w:cstheme="majorHAnsi"/>
          <w:i/>
          <w:iCs/>
          <w:color w:val="000000"/>
          <w:sz w:val="20"/>
          <w:szCs w:val="20"/>
        </w:rPr>
        <w:t>odrębnie</w:t>
      </w:r>
      <w:r w:rsidR="001E6A2C" w:rsidRPr="00C01237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</w:t>
      </w:r>
      <w:r w:rsidRPr="00C01237">
        <w:rPr>
          <w:rFonts w:asciiTheme="majorHAnsi" w:hAnsiTheme="majorHAnsi" w:cstheme="majorHAnsi"/>
          <w:i/>
          <w:iCs/>
          <w:color w:val="000000"/>
          <w:sz w:val="20"/>
          <w:szCs w:val="20"/>
        </w:rPr>
        <w:t>dla każdego z armatorów. Stawka za załadowanie na statek lub wyładowanie ze statku pojazdów określonych w § 3 ust.2 Taryfy</w:t>
      </w:r>
      <w:r w:rsidRPr="006C03FA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po przekroczeniu poszczególnego progu ilościowego dotyczy tylko ilości sztuk w danym</w:t>
      </w:r>
      <w:r w:rsidR="00CA4481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okresie i</w:t>
      </w:r>
      <w:r w:rsidRPr="006C03FA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przedziale i nie ma zastosowania do pojazdów w przedziałach ilościowych wcześniej przekroczonych.</w:t>
      </w:r>
    </w:p>
    <w:p w14:paraId="7BEC3598" w14:textId="77777777" w:rsidR="00D1350E" w:rsidRPr="00D1350E" w:rsidRDefault="00D1350E" w:rsidP="00D1350E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2002E357" w14:textId="42DC0459" w:rsidR="00932ED9" w:rsidRPr="00932ED9" w:rsidRDefault="00932ED9" w:rsidP="00C07DBF">
      <w:pPr>
        <w:numPr>
          <w:ilvl w:val="0"/>
          <w:numId w:val="4"/>
        </w:numPr>
        <w:shd w:val="clear" w:color="auto" w:fill="ACB9CA" w:themeFill="text2" w:themeFillTint="66"/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932ED9">
        <w:rPr>
          <w:rFonts w:asciiTheme="majorHAnsi" w:hAnsiTheme="majorHAnsi" w:cstheme="majorHAnsi"/>
          <w:color w:val="000000"/>
          <w:sz w:val="20"/>
          <w:szCs w:val="20"/>
        </w:rPr>
        <w:t xml:space="preserve">Opłaty za </w:t>
      </w:r>
      <w:r w:rsidR="00055B9A" w:rsidRPr="00055B9A">
        <w:rPr>
          <w:rFonts w:asciiTheme="majorHAnsi" w:hAnsiTheme="majorHAnsi" w:cstheme="majorHAnsi"/>
          <w:color w:val="000000"/>
          <w:sz w:val="20"/>
          <w:szCs w:val="20"/>
        </w:rPr>
        <w:t>załadowanie na statek lub wyładowanie ze statku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 xml:space="preserve"> drobnicy za konosamentem</w:t>
      </w:r>
      <w:r w:rsidR="00884366">
        <w:rPr>
          <w:rFonts w:asciiTheme="majorHAnsi" w:hAnsiTheme="majorHAnsi" w:cstheme="majorHAnsi"/>
          <w:color w:val="000000"/>
          <w:sz w:val="20"/>
          <w:szCs w:val="20"/>
        </w:rPr>
        <w:t>,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 xml:space="preserve"> za</w:t>
      </w:r>
      <w:r w:rsidR="00884366">
        <w:rPr>
          <w:rFonts w:asciiTheme="majorHAnsi" w:hAnsiTheme="majorHAnsi" w:cstheme="majorHAnsi"/>
          <w:color w:val="000000"/>
          <w:sz w:val="20"/>
          <w:szCs w:val="20"/>
        </w:rPr>
        <w:t xml:space="preserve"> jedną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 xml:space="preserve"> tonę:</w:t>
      </w:r>
    </w:p>
    <w:p w14:paraId="29D836C8" w14:textId="45B0EAF4" w:rsidR="00932ED9" w:rsidRPr="00932ED9" w:rsidRDefault="00932ED9" w:rsidP="00657C9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932ED9">
        <w:rPr>
          <w:rFonts w:asciiTheme="majorHAnsi" w:hAnsiTheme="majorHAnsi" w:cstheme="majorHAnsi"/>
          <w:color w:val="000000"/>
          <w:sz w:val="20"/>
          <w:szCs w:val="20"/>
        </w:rPr>
        <w:t>drobnica luzem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080554">
        <w:rPr>
          <w:rFonts w:asciiTheme="majorHAnsi" w:hAnsiTheme="majorHAnsi" w:cstheme="majorHAnsi"/>
          <w:color w:val="000000"/>
          <w:sz w:val="20"/>
          <w:szCs w:val="20"/>
        </w:rPr>
        <w:t xml:space="preserve">62,94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>PLN</w:t>
      </w:r>
    </w:p>
    <w:p w14:paraId="66BA56A5" w14:textId="2F3266F0" w:rsidR="00932ED9" w:rsidRDefault="00932ED9" w:rsidP="00657C9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932ED9">
        <w:rPr>
          <w:rFonts w:asciiTheme="majorHAnsi" w:hAnsiTheme="majorHAnsi" w:cstheme="majorHAnsi"/>
          <w:color w:val="000000"/>
          <w:sz w:val="20"/>
          <w:szCs w:val="20"/>
        </w:rPr>
        <w:t>drobnica zjednostkowana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080554">
        <w:rPr>
          <w:rFonts w:asciiTheme="majorHAnsi" w:hAnsiTheme="majorHAnsi" w:cstheme="majorHAnsi"/>
          <w:color w:val="000000"/>
          <w:sz w:val="20"/>
          <w:szCs w:val="20"/>
        </w:rPr>
        <w:t>30,30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>PLN</w:t>
      </w:r>
    </w:p>
    <w:p w14:paraId="3BFD3084" w14:textId="77777777" w:rsidR="00D1350E" w:rsidRPr="00932ED9" w:rsidRDefault="00D1350E" w:rsidP="00D1350E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159AD66E" w14:textId="61C46A9B" w:rsidR="00932ED9" w:rsidRPr="00932ED9" w:rsidRDefault="00932ED9" w:rsidP="00C07DBF">
      <w:pPr>
        <w:numPr>
          <w:ilvl w:val="0"/>
          <w:numId w:val="4"/>
        </w:numPr>
        <w:shd w:val="clear" w:color="auto" w:fill="ACB9CA" w:themeFill="text2" w:themeFillTint="66"/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932ED9">
        <w:rPr>
          <w:rFonts w:asciiTheme="majorHAnsi" w:hAnsiTheme="majorHAnsi" w:cstheme="majorHAnsi"/>
          <w:color w:val="000000"/>
          <w:sz w:val="20"/>
          <w:szCs w:val="20"/>
        </w:rPr>
        <w:t>Opłaty za załadowanie</w:t>
      </w:r>
      <w:r w:rsidR="00055B9A">
        <w:rPr>
          <w:rFonts w:asciiTheme="majorHAnsi" w:hAnsiTheme="majorHAnsi" w:cstheme="majorHAnsi"/>
          <w:color w:val="000000"/>
          <w:sz w:val="20"/>
          <w:szCs w:val="20"/>
        </w:rPr>
        <w:t xml:space="preserve"> na statek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 xml:space="preserve"> lub wyładowanie</w:t>
      </w:r>
      <w:r w:rsidR="00055B9A">
        <w:rPr>
          <w:rFonts w:asciiTheme="majorHAnsi" w:hAnsiTheme="majorHAnsi" w:cstheme="majorHAnsi"/>
          <w:color w:val="000000"/>
          <w:sz w:val="20"/>
          <w:szCs w:val="20"/>
        </w:rPr>
        <w:t xml:space="preserve"> ze statku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 xml:space="preserve"> samochodów za konosamentem</w:t>
      </w:r>
      <w:r w:rsidR="005F5A5E">
        <w:rPr>
          <w:rFonts w:asciiTheme="majorHAnsi" w:hAnsiTheme="majorHAnsi" w:cstheme="majorHAnsi"/>
          <w:color w:val="000000"/>
          <w:sz w:val="20"/>
          <w:szCs w:val="20"/>
        </w:rPr>
        <w:t>,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 xml:space="preserve"> za </w:t>
      </w:r>
      <w:r w:rsidR="005F5A5E">
        <w:rPr>
          <w:rFonts w:asciiTheme="majorHAnsi" w:hAnsiTheme="majorHAnsi" w:cstheme="majorHAnsi"/>
          <w:color w:val="000000"/>
          <w:sz w:val="20"/>
          <w:szCs w:val="20"/>
        </w:rPr>
        <w:t xml:space="preserve">jedną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>sztukę:</w:t>
      </w:r>
    </w:p>
    <w:p w14:paraId="7020EF4F" w14:textId="14ECEC8B" w:rsidR="00932ED9" w:rsidRPr="00932ED9" w:rsidRDefault="00932ED9" w:rsidP="00657C9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932ED9">
        <w:rPr>
          <w:rFonts w:asciiTheme="majorHAnsi" w:hAnsiTheme="majorHAnsi" w:cstheme="majorHAnsi"/>
          <w:color w:val="000000"/>
          <w:sz w:val="20"/>
          <w:szCs w:val="20"/>
        </w:rPr>
        <w:t>osobowych z kierowcą</w:t>
      </w:r>
      <w:r w:rsidR="005945F1">
        <w:rPr>
          <w:rFonts w:asciiTheme="majorHAnsi" w:hAnsiTheme="majorHAnsi" w:cstheme="majorHAnsi"/>
          <w:color w:val="000000"/>
          <w:sz w:val="20"/>
          <w:szCs w:val="20"/>
        </w:rPr>
        <w:t xml:space="preserve"> Zarządcy Terminala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1E6A2C">
        <w:rPr>
          <w:rFonts w:asciiTheme="majorHAnsi" w:hAnsiTheme="majorHAnsi" w:cstheme="majorHAnsi"/>
          <w:color w:val="000000"/>
          <w:sz w:val="20"/>
          <w:szCs w:val="20"/>
        </w:rPr>
        <w:t xml:space="preserve">  </w:t>
      </w:r>
      <w:r w:rsidR="00080554">
        <w:rPr>
          <w:rFonts w:asciiTheme="majorHAnsi" w:hAnsiTheme="majorHAnsi" w:cstheme="majorHAnsi"/>
          <w:color w:val="000000"/>
          <w:sz w:val="20"/>
          <w:szCs w:val="20"/>
        </w:rPr>
        <w:t xml:space="preserve"> 68,76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>PLN</w:t>
      </w:r>
    </w:p>
    <w:p w14:paraId="3A899020" w14:textId="603B42FF" w:rsidR="00932ED9" w:rsidRPr="00932ED9" w:rsidRDefault="00932ED9" w:rsidP="00657C9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932ED9">
        <w:rPr>
          <w:rFonts w:asciiTheme="majorHAnsi" w:hAnsiTheme="majorHAnsi" w:cstheme="majorHAnsi"/>
          <w:color w:val="000000"/>
          <w:sz w:val="20"/>
          <w:szCs w:val="20"/>
        </w:rPr>
        <w:t xml:space="preserve">osobowych bez kierowcy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1E6A2C">
        <w:rPr>
          <w:rFonts w:asciiTheme="majorHAnsi" w:hAnsiTheme="majorHAnsi" w:cstheme="majorHAnsi"/>
          <w:color w:val="000000"/>
          <w:sz w:val="20"/>
          <w:szCs w:val="20"/>
        </w:rPr>
        <w:t xml:space="preserve">  </w:t>
      </w:r>
      <w:r w:rsidR="00080554">
        <w:rPr>
          <w:rFonts w:asciiTheme="majorHAnsi" w:hAnsiTheme="majorHAnsi" w:cstheme="majorHAnsi"/>
          <w:color w:val="000000"/>
          <w:sz w:val="20"/>
          <w:szCs w:val="20"/>
        </w:rPr>
        <w:t xml:space="preserve">48,95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>PLN</w:t>
      </w:r>
    </w:p>
    <w:p w14:paraId="4A6B0127" w14:textId="5C861ACF" w:rsidR="00932ED9" w:rsidRPr="00932ED9" w:rsidRDefault="00932ED9" w:rsidP="00657C9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932ED9">
        <w:rPr>
          <w:rFonts w:asciiTheme="majorHAnsi" w:hAnsiTheme="majorHAnsi" w:cstheme="majorHAnsi"/>
          <w:color w:val="000000"/>
          <w:sz w:val="20"/>
          <w:szCs w:val="20"/>
        </w:rPr>
        <w:t>ciężarowych, autobusów z kierowcą</w:t>
      </w:r>
      <w:r w:rsidR="005945F1">
        <w:rPr>
          <w:rFonts w:asciiTheme="majorHAnsi" w:hAnsiTheme="majorHAnsi" w:cstheme="majorHAnsi"/>
          <w:color w:val="000000"/>
          <w:sz w:val="20"/>
          <w:szCs w:val="20"/>
        </w:rPr>
        <w:t xml:space="preserve"> Zarządcy Terminala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1E6A2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1E6A2C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080554">
        <w:rPr>
          <w:rFonts w:asciiTheme="majorHAnsi" w:hAnsiTheme="majorHAnsi" w:cstheme="majorHAnsi"/>
          <w:color w:val="000000"/>
          <w:sz w:val="20"/>
          <w:szCs w:val="20"/>
        </w:rPr>
        <w:t>129,37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>PLN</w:t>
      </w:r>
    </w:p>
    <w:p w14:paraId="061813BB" w14:textId="1FBF5FCD" w:rsidR="00932ED9" w:rsidRDefault="00932ED9" w:rsidP="00657C9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932ED9">
        <w:rPr>
          <w:rFonts w:asciiTheme="majorHAnsi" w:hAnsiTheme="majorHAnsi" w:cstheme="majorHAnsi"/>
          <w:color w:val="000000"/>
          <w:sz w:val="20"/>
          <w:szCs w:val="20"/>
        </w:rPr>
        <w:t xml:space="preserve">ciężarowych, autobusów bez kierowcy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ab/>
      </w:r>
      <w:r w:rsidR="001E6A2C">
        <w:rPr>
          <w:rFonts w:asciiTheme="majorHAnsi" w:hAnsiTheme="majorHAnsi" w:cstheme="majorHAnsi"/>
          <w:color w:val="000000"/>
          <w:sz w:val="20"/>
          <w:szCs w:val="20"/>
        </w:rPr>
        <w:t xml:space="preserve">  </w:t>
      </w:r>
      <w:r w:rsidR="00080554">
        <w:rPr>
          <w:rFonts w:asciiTheme="majorHAnsi" w:hAnsiTheme="majorHAnsi" w:cstheme="majorHAnsi"/>
          <w:color w:val="000000"/>
          <w:sz w:val="20"/>
          <w:szCs w:val="20"/>
        </w:rPr>
        <w:t>96,74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>PLN</w:t>
      </w:r>
    </w:p>
    <w:p w14:paraId="1427C7CF" w14:textId="77777777" w:rsidR="00055B9A" w:rsidRPr="00055B9A" w:rsidRDefault="00055B9A" w:rsidP="00D1350E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color w:val="000000"/>
          <w:sz w:val="20"/>
          <w:szCs w:val="20"/>
          <w:u w:val="single"/>
        </w:rPr>
      </w:pPr>
      <w:r w:rsidRPr="00055B9A">
        <w:rPr>
          <w:rFonts w:asciiTheme="majorHAnsi" w:hAnsiTheme="majorHAnsi" w:cstheme="majorHAnsi"/>
          <w:color w:val="000000"/>
          <w:sz w:val="20"/>
          <w:szCs w:val="20"/>
        </w:rPr>
        <w:br/>
      </w:r>
      <w:r w:rsidRPr="00055B9A">
        <w:rPr>
          <w:rFonts w:asciiTheme="majorHAnsi" w:hAnsiTheme="majorHAnsi" w:cstheme="majorHAnsi"/>
          <w:color w:val="000000"/>
          <w:sz w:val="20"/>
          <w:szCs w:val="20"/>
          <w:u w:val="single"/>
        </w:rPr>
        <w:t>Objaśnienia:</w:t>
      </w:r>
    </w:p>
    <w:p w14:paraId="532E8295" w14:textId="42FC6BD7" w:rsidR="00055B9A" w:rsidRDefault="00055B9A" w:rsidP="00D74DB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iCs/>
          <w:color w:val="000000"/>
          <w:sz w:val="20"/>
          <w:szCs w:val="20"/>
        </w:rPr>
      </w:pPr>
      <w:r w:rsidRPr="00055B9A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Rodzaj pojazdu określa się na podstawie danych zawartych w dowodzie rejestracyjnym lub równoważnym dokumencie. </w:t>
      </w:r>
    </w:p>
    <w:p w14:paraId="68C1EDDF" w14:textId="77777777" w:rsidR="00D1350E" w:rsidRPr="00D1350E" w:rsidRDefault="00D1350E" w:rsidP="00D1350E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64B9A940" w14:textId="387724EE" w:rsidR="00932ED9" w:rsidRDefault="00932ED9" w:rsidP="00C07DBF">
      <w:pPr>
        <w:numPr>
          <w:ilvl w:val="0"/>
          <w:numId w:val="4"/>
        </w:numPr>
        <w:shd w:val="clear" w:color="auto" w:fill="ACB9CA" w:themeFill="text2" w:themeFillTint="66"/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932ED9">
        <w:rPr>
          <w:rFonts w:asciiTheme="majorHAnsi" w:hAnsiTheme="majorHAnsi" w:cstheme="majorHAnsi"/>
          <w:color w:val="000000"/>
          <w:sz w:val="20"/>
          <w:szCs w:val="20"/>
        </w:rPr>
        <w:t>Opłata</w:t>
      </w:r>
      <w:r w:rsidR="00797C39">
        <w:rPr>
          <w:rFonts w:asciiTheme="majorHAnsi" w:hAnsiTheme="majorHAnsi" w:cstheme="majorHAnsi"/>
          <w:color w:val="000000"/>
          <w:sz w:val="20"/>
          <w:szCs w:val="20"/>
        </w:rPr>
        <w:t xml:space="preserve"> za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797C39" w:rsidRPr="00797C39">
        <w:rPr>
          <w:rFonts w:asciiTheme="majorHAnsi" w:hAnsiTheme="majorHAnsi" w:cstheme="majorHAnsi"/>
          <w:color w:val="000000"/>
          <w:sz w:val="20"/>
          <w:szCs w:val="20"/>
        </w:rPr>
        <w:t xml:space="preserve">załadowanie na statek lub wyładowanie ze statku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>wagonów pełnych i pustych niezależnie od ilości os</w:t>
      </w:r>
      <w:r w:rsidR="00797C39">
        <w:rPr>
          <w:rFonts w:asciiTheme="majorHAnsi" w:hAnsiTheme="majorHAnsi" w:cstheme="majorHAnsi"/>
          <w:color w:val="000000"/>
          <w:sz w:val="20"/>
          <w:szCs w:val="20"/>
        </w:rPr>
        <w:t xml:space="preserve">i, za jeden </w:t>
      </w:r>
      <w:r w:rsidRPr="00932ED9">
        <w:rPr>
          <w:rFonts w:asciiTheme="majorHAnsi" w:hAnsiTheme="majorHAnsi" w:cstheme="majorHAnsi"/>
          <w:color w:val="000000"/>
          <w:sz w:val="20"/>
          <w:szCs w:val="20"/>
        </w:rPr>
        <w:t>wagon:</w:t>
      </w:r>
    </w:p>
    <w:p w14:paraId="033BA72E" w14:textId="77777777" w:rsidR="00797C39" w:rsidRPr="00797C39" w:rsidRDefault="00797C39" w:rsidP="00797C39">
      <w:pPr>
        <w:ind w:left="720"/>
        <w:rPr>
          <w:rFonts w:asciiTheme="majorHAnsi" w:hAnsiTheme="majorHAnsi" w:cstheme="majorHAnsi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2835"/>
      </w:tblGrid>
      <w:tr w:rsidR="00797C39" w:rsidRPr="00932ED9" w14:paraId="5B573AF3" w14:textId="77777777" w:rsidTr="004E544D">
        <w:trPr>
          <w:jc w:val="center"/>
        </w:trPr>
        <w:tc>
          <w:tcPr>
            <w:tcW w:w="567" w:type="dxa"/>
            <w:shd w:val="clear" w:color="auto" w:fill="ACB9CA" w:themeFill="text2" w:themeFillTint="66"/>
            <w:vAlign w:val="center"/>
          </w:tcPr>
          <w:p w14:paraId="22894BBB" w14:textId="77777777" w:rsidR="00797C39" w:rsidRPr="00932ED9" w:rsidRDefault="00797C39" w:rsidP="00AC21B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l.</w:t>
            </w:r>
            <w:r w:rsidRPr="00932ED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p.</w:t>
            </w:r>
          </w:p>
        </w:tc>
        <w:tc>
          <w:tcPr>
            <w:tcW w:w="2835" w:type="dxa"/>
            <w:shd w:val="clear" w:color="auto" w:fill="ACB9CA" w:themeFill="text2" w:themeFillTint="66"/>
          </w:tcPr>
          <w:p w14:paraId="1343149B" w14:textId="77777777" w:rsidR="004E544D" w:rsidRDefault="00551EF9" w:rsidP="00AC21B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</w:t>
            </w:r>
            <w:r w:rsidRPr="00551EF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olumen przeładunków</w:t>
            </w:r>
            <w:r w:rsidRPr="00551EF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  <w:t>w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551EF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przedzia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</w:t>
            </w:r>
            <w:r w:rsidRPr="00551EF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082B0B5F" w14:textId="6ECEEC10" w:rsidR="00797C39" w:rsidRPr="00932ED9" w:rsidRDefault="00551EF9" w:rsidP="00AC21B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51EF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(min-maks.</w:t>
            </w:r>
            <w:r w:rsidR="004E544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ilość</w:t>
            </w:r>
            <w:r w:rsidRPr="00551EF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szt.)</w:t>
            </w:r>
          </w:p>
        </w:tc>
        <w:tc>
          <w:tcPr>
            <w:tcW w:w="2835" w:type="dxa"/>
            <w:shd w:val="clear" w:color="auto" w:fill="ACB9CA" w:themeFill="text2" w:themeFillTint="66"/>
            <w:vAlign w:val="center"/>
          </w:tcPr>
          <w:p w14:paraId="765FFC19" w14:textId="1D04FCBE" w:rsidR="00797C39" w:rsidRPr="00932ED9" w:rsidRDefault="00797C39" w:rsidP="00AC21B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</w:t>
            </w:r>
            <w:r w:rsidRPr="00932ED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ysokość opłat</w:t>
            </w:r>
            <w:r w:rsidR="00551EF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</w:t>
            </w:r>
            <w:r w:rsidRPr="00932ED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(PLN</w:t>
            </w:r>
            <w:r w:rsidR="00D7328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932ED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/</w:t>
            </w:r>
            <w:r w:rsidR="00D7328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932ED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  <w:r w:rsidR="00551EF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wagon</w:t>
            </w:r>
            <w:r w:rsidRPr="00932ED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</w:tr>
      <w:tr w:rsidR="00797C39" w:rsidRPr="00932ED9" w14:paraId="15D80E0F" w14:textId="77777777" w:rsidTr="00551EF9">
        <w:trPr>
          <w:jc w:val="center"/>
        </w:trPr>
        <w:tc>
          <w:tcPr>
            <w:tcW w:w="567" w:type="dxa"/>
          </w:tcPr>
          <w:p w14:paraId="3C7D5D76" w14:textId="77777777" w:rsidR="00797C39" w:rsidRPr="00932ED9" w:rsidRDefault="00797C39" w:rsidP="00551EF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32ED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307741E6" w14:textId="10AC1627" w:rsidR="00797C39" w:rsidRPr="00932ED9" w:rsidRDefault="00551EF9" w:rsidP="00551EF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  <w:r w:rsidR="00CB3A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</w:t>
            </w:r>
            <w:r w:rsidR="00CB3A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13 500</w:t>
            </w:r>
          </w:p>
        </w:tc>
        <w:tc>
          <w:tcPr>
            <w:tcW w:w="2835" w:type="dxa"/>
          </w:tcPr>
          <w:p w14:paraId="6A27D9B6" w14:textId="0BCB04D5" w:rsidR="00797C39" w:rsidRPr="00932ED9" w:rsidRDefault="002E421F" w:rsidP="00551EF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133,20</w:t>
            </w:r>
          </w:p>
        </w:tc>
      </w:tr>
      <w:tr w:rsidR="00797C39" w:rsidRPr="00932ED9" w14:paraId="16CBB255" w14:textId="77777777" w:rsidTr="00551EF9">
        <w:trPr>
          <w:jc w:val="center"/>
        </w:trPr>
        <w:tc>
          <w:tcPr>
            <w:tcW w:w="567" w:type="dxa"/>
          </w:tcPr>
          <w:p w14:paraId="1CA0215B" w14:textId="77777777" w:rsidR="00797C39" w:rsidRPr="00932ED9" w:rsidRDefault="00797C39" w:rsidP="00551EF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32ED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14:paraId="462C539C" w14:textId="7DF0DC67" w:rsidR="00797C39" w:rsidRPr="00932ED9" w:rsidRDefault="00551EF9" w:rsidP="00551EF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13 501 i więcej</w:t>
            </w:r>
          </w:p>
        </w:tc>
        <w:tc>
          <w:tcPr>
            <w:tcW w:w="2835" w:type="dxa"/>
          </w:tcPr>
          <w:p w14:paraId="2D906050" w14:textId="393158BE" w:rsidR="00797C39" w:rsidRPr="00932ED9" w:rsidRDefault="002E421F" w:rsidP="00551EF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105,45</w:t>
            </w:r>
          </w:p>
        </w:tc>
      </w:tr>
    </w:tbl>
    <w:p w14:paraId="27C4695B" w14:textId="6D0494AB" w:rsidR="003943F2" w:rsidRDefault="003943F2" w:rsidP="007C4026">
      <w:pPr>
        <w:pStyle w:val="Nagwek1"/>
        <w:ind w:left="0" w:firstLine="74"/>
        <w:jc w:val="center"/>
        <w:rPr>
          <w:rFonts w:asciiTheme="majorHAnsi" w:hAnsiTheme="majorHAnsi" w:cstheme="majorHAnsi"/>
          <w:b/>
          <w:bCs/>
          <w:color w:val="4472C4" w:themeColor="accent1"/>
          <w:sz w:val="20"/>
          <w:szCs w:val="20"/>
        </w:rPr>
      </w:pPr>
    </w:p>
    <w:p w14:paraId="63C856C2" w14:textId="357D32E1" w:rsidR="00766E7E" w:rsidRPr="00766E7E" w:rsidRDefault="00766E7E" w:rsidP="007C4026">
      <w:pPr>
        <w:pStyle w:val="Nagwek1"/>
        <w:ind w:left="0" w:firstLine="72"/>
        <w:jc w:val="center"/>
        <w:rPr>
          <w:rFonts w:asciiTheme="majorHAnsi" w:hAnsiTheme="majorHAnsi" w:cstheme="majorHAnsi"/>
          <w:b/>
          <w:bCs/>
          <w:color w:val="4472C4" w:themeColor="accent1"/>
          <w:sz w:val="20"/>
          <w:szCs w:val="20"/>
        </w:rPr>
      </w:pPr>
      <w:bookmarkStart w:id="16" w:name="_Toc95895310"/>
      <w:r w:rsidRPr="00766E7E">
        <w:rPr>
          <w:rFonts w:asciiTheme="majorHAnsi" w:hAnsiTheme="majorHAnsi" w:cstheme="majorHAnsi"/>
          <w:b/>
          <w:bCs/>
          <w:color w:val="4472C4" w:themeColor="accent1"/>
          <w:sz w:val="20"/>
          <w:szCs w:val="20"/>
        </w:rPr>
        <w:t xml:space="preserve">§ </w:t>
      </w:r>
      <w:r w:rsidR="00CD3631">
        <w:rPr>
          <w:rFonts w:asciiTheme="majorHAnsi" w:hAnsiTheme="majorHAnsi" w:cstheme="majorHAnsi"/>
          <w:b/>
          <w:bCs/>
          <w:color w:val="4472C4" w:themeColor="accent1"/>
          <w:sz w:val="20"/>
          <w:szCs w:val="20"/>
        </w:rPr>
        <w:t>4</w:t>
      </w:r>
      <w:r w:rsidRPr="00766E7E">
        <w:rPr>
          <w:rFonts w:asciiTheme="majorHAnsi" w:hAnsiTheme="majorHAnsi" w:cstheme="majorHAnsi"/>
          <w:b/>
          <w:bCs/>
          <w:color w:val="4472C4" w:themeColor="accent1"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bCs/>
          <w:color w:val="4472C4" w:themeColor="accent1"/>
          <w:sz w:val="20"/>
          <w:szCs w:val="20"/>
        </w:rPr>
        <w:tab/>
      </w:r>
      <w:r w:rsidRPr="00766E7E">
        <w:rPr>
          <w:rFonts w:asciiTheme="majorHAnsi" w:hAnsiTheme="majorHAnsi" w:cstheme="majorHAnsi"/>
          <w:b/>
          <w:bCs/>
          <w:color w:val="4472C4" w:themeColor="accent1"/>
          <w:sz w:val="20"/>
          <w:szCs w:val="20"/>
        </w:rPr>
        <w:t>Interpretacja postanowień Taryfy</w:t>
      </w:r>
      <w:bookmarkEnd w:id="16"/>
      <w:r w:rsidRPr="00766E7E">
        <w:rPr>
          <w:rFonts w:asciiTheme="majorHAnsi" w:hAnsiTheme="majorHAnsi" w:cstheme="majorHAnsi"/>
          <w:b/>
          <w:bCs/>
          <w:color w:val="4472C4" w:themeColor="accent1"/>
          <w:sz w:val="20"/>
          <w:szCs w:val="20"/>
        </w:rPr>
        <w:t xml:space="preserve"> </w:t>
      </w:r>
    </w:p>
    <w:p w14:paraId="30130412" w14:textId="648FEBC5" w:rsidR="00766E7E" w:rsidRPr="007C4026" w:rsidRDefault="00766E7E" w:rsidP="007C4026">
      <w:pPr>
        <w:pStyle w:val="Nagwek1"/>
        <w:ind w:left="0" w:firstLine="74"/>
        <w:jc w:val="center"/>
        <w:rPr>
          <w:rFonts w:asciiTheme="majorHAnsi" w:hAnsiTheme="majorHAnsi" w:cstheme="majorHAnsi"/>
          <w:b/>
          <w:bCs/>
          <w:color w:val="4472C4" w:themeColor="accent1"/>
          <w:sz w:val="20"/>
          <w:szCs w:val="20"/>
        </w:rPr>
      </w:pPr>
    </w:p>
    <w:p w14:paraId="7DA8E1D1" w14:textId="77777777" w:rsidR="004560E2" w:rsidRPr="004560E2" w:rsidRDefault="004560E2" w:rsidP="00C07DBF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4560E2">
        <w:rPr>
          <w:rFonts w:asciiTheme="majorHAnsi" w:hAnsiTheme="majorHAnsi" w:cstheme="majorHAnsi"/>
          <w:color w:val="000000"/>
          <w:sz w:val="20"/>
          <w:szCs w:val="20"/>
        </w:rPr>
        <w:t xml:space="preserve">Postanowienia </w:t>
      </w:r>
      <w:bookmarkStart w:id="17" w:name="_Hlk24799267"/>
      <w:r w:rsidRPr="004560E2">
        <w:rPr>
          <w:rFonts w:asciiTheme="majorHAnsi" w:hAnsiTheme="majorHAnsi" w:cstheme="majorHAnsi"/>
          <w:color w:val="000000"/>
          <w:sz w:val="20"/>
          <w:szCs w:val="20"/>
        </w:rPr>
        <w:t>Taryfy</w:t>
      </w:r>
      <w:bookmarkEnd w:id="17"/>
      <w:r w:rsidRPr="004560E2">
        <w:rPr>
          <w:rFonts w:asciiTheme="majorHAnsi" w:hAnsiTheme="majorHAnsi" w:cstheme="majorHAnsi"/>
          <w:color w:val="000000"/>
          <w:sz w:val="20"/>
          <w:szCs w:val="20"/>
        </w:rPr>
        <w:t xml:space="preserve"> będą interpretowane w taki sposób, aby były zgodne z przepisami prawa bezwzględnie obowiązującymi na terytorium Rzeczpospolitej Polskiej. W przypadku, jeśli którekolwiek z postanowień Taryfy okazałoby się nieważne albo też – z mocy prawa lub ostatecznego albo prawomocnego orzeczenia jakiegokolwiek sądu lub organu władzy albo administracji publicznej – zostałoby uznane za nieważne lub nieskuteczne, wszelkie pozostałe postanowienia Taryfy pozostaną wiążące, a zdarzenie takie pozostanie bez wpływu na ważność lub skuteczność lub wykonywanie pozostałych postanowień Taryfy.</w:t>
      </w:r>
    </w:p>
    <w:p w14:paraId="52EC0397" w14:textId="77777777" w:rsidR="004560E2" w:rsidRPr="004560E2" w:rsidRDefault="004560E2" w:rsidP="00C07DBF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4560E2">
        <w:rPr>
          <w:rFonts w:asciiTheme="majorHAnsi" w:hAnsiTheme="majorHAnsi" w:cstheme="majorHAnsi"/>
          <w:color w:val="000000"/>
          <w:sz w:val="20"/>
          <w:szCs w:val="20"/>
        </w:rPr>
        <w:t>Tytuły poszczególnych jednostek redakcyjnych tekstu Taryfy nie mają znaczenia prawnego i nie wpływają na interpretację postanowień Taryfy.</w:t>
      </w:r>
    </w:p>
    <w:p w14:paraId="43528AA7" w14:textId="77777777" w:rsidR="004560E2" w:rsidRPr="004560E2" w:rsidRDefault="004560E2" w:rsidP="00C07DBF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4560E2">
        <w:rPr>
          <w:rFonts w:asciiTheme="majorHAnsi" w:hAnsiTheme="majorHAnsi" w:cstheme="majorHAnsi"/>
          <w:color w:val="000000"/>
          <w:sz w:val="20"/>
          <w:szCs w:val="20"/>
        </w:rPr>
        <w:t>Odesłania do jednostek redakcyjnych tekstu (paragrafy, ustępy, etc.) stanowią odesłania do jednostek redakcyjnych Taryfy.</w:t>
      </w:r>
    </w:p>
    <w:p w14:paraId="509DF77E" w14:textId="77777777" w:rsidR="004560E2" w:rsidRPr="004560E2" w:rsidRDefault="004560E2" w:rsidP="00C07DBF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4560E2">
        <w:rPr>
          <w:rFonts w:asciiTheme="majorHAnsi" w:hAnsiTheme="majorHAnsi" w:cstheme="majorHAnsi"/>
          <w:color w:val="000000"/>
          <w:sz w:val="20"/>
          <w:szCs w:val="20"/>
        </w:rPr>
        <w:t xml:space="preserve">Objaśnienia umieszczone w treści poszczególnych jednostek redakcyjnych tekstu Taryfy mają zastosowanie wyłącznie do interpretacji jednostki redakcyjnej tekstu, w której zostały umieszczone. </w:t>
      </w:r>
    </w:p>
    <w:p w14:paraId="572C79E9" w14:textId="77777777" w:rsidR="004560E2" w:rsidRPr="004560E2" w:rsidRDefault="004560E2" w:rsidP="00C07DBF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4560E2">
        <w:rPr>
          <w:rFonts w:asciiTheme="majorHAnsi" w:hAnsiTheme="majorHAnsi" w:cstheme="majorHAnsi"/>
          <w:color w:val="000000"/>
          <w:sz w:val="20"/>
          <w:szCs w:val="20"/>
        </w:rPr>
        <w:t xml:space="preserve">W każdym przypadku, w którym w tekście Taryfy użyta została liczba mnoga, te same postanowienia Taryfy mają zastosowanie przy użyciu liczby pojedynczej. W każdym przypadku, w którym w tekście Taryfy użyta została liczba pojedyncza, te same postanowienia Taryfy mają zastosowanie przy użyciu liczby mnogiej. </w:t>
      </w:r>
    </w:p>
    <w:p w14:paraId="1F8CCA56" w14:textId="1B97954E" w:rsidR="004560E2" w:rsidRPr="004560E2" w:rsidRDefault="004560E2" w:rsidP="00C07DBF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bookmarkStart w:id="18" w:name="_Hlk25235546"/>
      <w:r w:rsidRPr="004560E2">
        <w:rPr>
          <w:rFonts w:asciiTheme="majorHAnsi" w:hAnsiTheme="majorHAnsi" w:cstheme="majorHAnsi"/>
          <w:color w:val="000000"/>
          <w:sz w:val="20"/>
          <w:szCs w:val="20"/>
        </w:rPr>
        <w:lastRenderedPageBreak/>
        <w:t xml:space="preserve">W przypadku odwołania się w treści Taryfy do aktu prawnego, zastosowanie ma aktualny w dacie zastosowania Taryfy tekst tego aktu prawnego lub tekst aktu prawnego, który zastąpił akt prawny przywołany w treści Taryfy w jego brzmieniu aktualnym w dacie zastosowania Taryfy. </w:t>
      </w:r>
      <w:bookmarkEnd w:id="18"/>
    </w:p>
    <w:p w14:paraId="7A97E851" w14:textId="78F1151F" w:rsidR="00C15230" w:rsidRPr="00170193" w:rsidRDefault="00C15230" w:rsidP="00170193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170193">
        <w:rPr>
          <w:rFonts w:asciiTheme="majorHAnsi" w:hAnsiTheme="majorHAnsi" w:cstheme="majorHAnsi"/>
          <w:color w:val="000000"/>
          <w:sz w:val="20"/>
          <w:szCs w:val="20"/>
        </w:rPr>
        <w:t>W przypadku gdyby wartość usług nie została określona w Taryfie, wartość usług</w:t>
      </w:r>
      <w:r w:rsidR="00170193">
        <w:rPr>
          <w:rFonts w:asciiTheme="majorHAnsi" w:hAnsiTheme="majorHAnsi" w:cstheme="majorHAnsi"/>
          <w:color w:val="000000"/>
          <w:sz w:val="20"/>
          <w:szCs w:val="20"/>
        </w:rPr>
        <w:t>i</w:t>
      </w:r>
      <w:r w:rsidRPr="00170193">
        <w:rPr>
          <w:rFonts w:asciiTheme="majorHAnsi" w:hAnsiTheme="majorHAnsi" w:cstheme="majorHAnsi"/>
          <w:color w:val="000000"/>
          <w:sz w:val="20"/>
          <w:szCs w:val="20"/>
        </w:rPr>
        <w:t xml:space="preserve"> określa Zarządca Terminala.</w:t>
      </w:r>
    </w:p>
    <w:sectPr w:rsidR="00C15230" w:rsidRPr="00170193" w:rsidSect="000C6631">
      <w:footerReference w:type="even" r:id="rId8"/>
      <w:footerReference w:type="default" r:id="rId9"/>
      <w:pgSz w:w="12240" w:h="15840" w:code="1"/>
      <w:pgMar w:top="1418" w:right="1418" w:bottom="1701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06790" w14:textId="77777777" w:rsidR="003B56A7" w:rsidRDefault="003B56A7">
      <w:r>
        <w:separator/>
      </w:r>
    </w:p>
  </w:endnote>
  <w:endnote w:type="continuationSeparator" w:id="0">
    <w:p w14:paraId="5E95F84D" w14:textId="77777777" w:rsidR="003B56A7" w:rsidRDefault="003B56A7">
      <w:r>
        <w:continuationSeparator/>
      </w:r>
    </w:p>
  </w:endnote>
  <w:endnote w:type="continuationNotice" w:id="1">
    <w:p w14:paraId="188B69F7" w14:textId="77777777" w:rsidR="003B56A7" w:rsidRDefault="003B56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bel Light">
    <w:altName w:val="Calibri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7FE32" w14:textId="4FA7C078" w:rsidR="000C6631" w:rsidRDefault="000C663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64BFB694" w14:textId="77777777" w:rsidR="000C6631" w:rsidRDefault="000C66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5DC22" w14:textId="6E6CCE9D" w:rsidR="000C6631" w:rsidRPr="005C18C3" w:rsidRDefault="000C6631" w:rsidP="005C18C3">
    <w:pPr>
      <w:pStyle w:val="Stopka"/>
      <w:tabs>
        <w:tab w:val="clear" w:pos="4536"/>
        <w:tab w:val="clear" w:pos="9072"/>
        <w:tab w:val="left" w:pos="7621"/>
      </w:tabs>
      <w:spacing w:before="120"/>
      <w:jc w:val="center"/>
      <w:rPr>
        <w:color w:val="4472C4" w:themeColor="accent1"/>
      </w:rPr>
    </w:pPr>
    <w:r w:rsidRPr="005C18C3">
      <w:rPr>
        <w:noProof/>
        <w:color w:val="4472C4" w:themeColor="accent1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2776921" wp14:editId="2D1CD0F9">
              <wp:simplePos x="0" y="0"/>
              <wp:positionH relativeFrom="column">
                <wp:posOffset>-109220</wp:posOffset>
              </wp:positionH>
              <wp:positionV relativeFrom="paragraph">
                <wp:posOffset>-67311</wp:posOffset>
              </wp:positionV>
              <wp:extent cx="58769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69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A7F31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6pt;margin-top:-5.3pt;width:462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" strokecolor="#2e74b5" strokeweight="1pt"/>
          </w:pict>
        </mc:Fallback>
      </mc:AlternateContent>
    </w:r>
    <w:r w:rsidRPr="005C18C3">
      <w:rPr>
        <w:rFonts w:ascii="Corbel Light" w:hAnsi="Corbel Light"/>
        <w:color w:val="4472C4" w:themeColor="accent1"/>
        <w:sz w:val="16"/>
        <w:szCs w:val="16"/>
      </w:rPr>
      <w:t xml:space="preserve">strona </w:t>
    </w:r>
    <w:r w:rsidRPr="005C18C3">
      <w:rPr>
        <w:rFonts w:ascii="Corbel Light" w:hAnsi="Corbel Light"/>
        <w:b/>
        <w:bCs/>
        <w:color w:val="4472C4" w:themeColor="accent1"/>
        <w:sz w:val="16"/>
        <w:szCs w:val="16"/>
      </w:rPr>
      <w:fldChar w:fldCharType="begin"/>
    </w:r>
    <w:r w:rsidRPr="005C18C3">
      <w:rPr>
        <w:rFonts w:ascii="Corbel Light" w:hAnsi="Corbel Light"/>
        <w:b/>
        <w:bCs/>
        <w:color w:val="4472C4" w:themeColor="accent1"/>
        <w:sz w:val="16"/>
        <w:szCs w:val="16"/>
      </w:rPr>
      <w:instrText>PAGE</w:instrText>
    </w:r>
    <w:r w:rsidRPr="005C18C3">
      <w:rPr>
        <w:rFonts w:ascii="Corbel Light" w:hAnsi="Corbel Light"/>
        <w:b/>
        <w:bCs/>
        <w:color w:val="4472C4" w:themeColor="accent1"/>
        <w:sz w:val="16"/>
        <w:szCs w:val="16"/>
      </w:rPr>
      <w:fldChar w:fldCharType="separate"/>
    </w:r>
    <w:r w:rsidR="00AB233E">
      <w:rPr>
        <w:rFonts w:ascii="Corbel Light" w:hAnsi="Corbel Light"/>
        <w:b/>
        <w:bCs/>
        <w:noProof/>
        <w:color w:val="4472C4" w:themeColor="accent1"/>
        <w:sz w:val="16"/>
        <w:szCs w:val="16"/>
      </w:rPr>
      <w:t>6</w:t>
    </w:r>
    <w:r w:rsidRPr="005C18C3">
      <w:rPr>
        <w:rFonts w:ascii="Corbel Light" w:hAnsi="Corbel Light"/>
        <w:b/>
        <w:bCs/>
        <w:color w:val="4472C4" w:themeColor="accent1"/>
        <w:sz w:val="16"/>
        <w:szCs w:val="16"/>
      </w:rPr>
      <w:fldChar w:fldCharType="end"/>
    </w:r>
    <w:r w:rsidRPr="005C18C3">
      <w:rPr>
        <w:rFonts w:ascii="Corbel Light" w:hAnsi="Corbel Light"/>
        <w:color w:val="4472C4" w:themeColor="accent1"/>
        <w:sz w:val="16"/>
        <w:szCs w:val="16"/>
      </w:rPr>
      <w:t xml:space="preserve"> z </w:t>
    </w:r>
    <w:r w:rsidR="005F5A5E">
      <w:rPr>
        <w:rFonts w:ascii="Corbel Light" w:hAnsi="Corbel Light"/>
        <w:color w:val="4472C4" w:themeColor="accent1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D3AE1" w14:textId="77777777" w:rsidR="003B56A7" w:rsidRDefault="003B56A7">
      <w:r>
        <w:separator/>
      </w:r>
    </w:p>
  </w:footnote>
  <w:footnote w:type="continuationSeparator" w:id="0">
    <w:p w14:paraId="2607EBB9" w14:textId="77777777" w:rsidR="003B56A7" w:rsidRDefault="003B56A7">
      <w:r>
        <w:continuationSeparator/>
      </w:r>
    </w:p>
  </w:footnote>
  <w:footnote w:type="continuationNotice" w:id="1">
    <w:p w14:paraId="03FEF9F4" w14:textId="77777777" w:rsidR="003B56A7" w:rsidRDefault="003B56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1143F"/>
    <w:multiLevelType w:val="hybridMultilevel"/>
    <w:tmpl w:val="D2440BDA"/>
    <w:lvl w:ilvl="0" w:tplc="B8C6209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269E7"/>
    <w:multiLevelType w:val="hybridMultilevel"/>
    <w:tmpl w:val="2DE87980"/>
    <w:lvl w:ilvl="0" w:tplc="B8C6209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43DE4"/>
    <w:multiLevelType w:val="hybridMultilevel"/>
    <w:tmpl w:val="5E52F790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FCE050C"/>
    <w:multiLevelType w:val="hybridMultilevel"/>
    <w:tmpl w:val="B4AA7A82"/>
    <w:lvl w:ilvl="0" w:tplc="B8C6209A">
      <w:start w:val="1"/>
      <w:numFmt w:val="lowerRoman"/>
      <w:lvlText w:val="(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211147DA"/>
    <w:multiLevelType w:val="hybridMultilevel"/>
    <w:tmpl w:val="5E52F790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21EA4819"/>
    <w:multiLevelType w:val="hybridMultilevel"/>
    <w:tmpl w:val="8228A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A2751"/>
    <w:multiLevelType w:val="hybridMultilevel"/>
    <w:tmpl w:val="5E52F790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2A9F4321"/>
    <w:multiLevelType w:val="hybridMultilevel"/>
    <w:tmpl w:val="12CEB1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033781"/>
    <w:multiLevelType w:val="hybridMultilevel"/>
    <w:tmpl w:val="B4AA7A82"/>
    <w:lvl w:ilvl="0" w:tplc="B8C6209A">
      <w:start w:val="1"/>
      <w:numFmt w:val="lowerRoman"/>
      <w:lvlText w:val="(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30223C9B"/>
    <w:multiLevelType w:val="multilevel"/>
    <w:tmpl w:val="448E7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61204B8"/>
    <w:multiLevelType w:val="hybridMultilevel"/>
    <w:tmpl w:val="5E74FC62"/>
    <w:lvl w:ilvl="0" w:tplc="B8C6209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CD67E4"/>
    <w:multiLevelType w:val="hybridMultilevel"/>
    <w:tmpl w:val="B4AA7A82"/>
    <w:lvl w:ilvl="0" w:tplc="B8C6209A">
      <w:start w:val="1"/>
      <w:numFmt w:val="lowerRoman"/>
      <w:lvlText w:val="(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53901435"/>
    <w:multiLevelType w:val="hybridMultilevel"/>
    <w:tmpl w:val="DA441428"/>
    <w:lvl w:ilvl="0" w:tplc="B8C6209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587872"/>
    <w:multiLevelType w:val="hybridMultilevel"/>
    <w:tmpl w:val="B4AA7A82"/>
    <w:lvl w:ilvl="0" w:tplc="B8C6209A">
      <w:start w:val="1"/>
      <w:numFmt w:val="lowerRoman"/>
      <w:lvlText w:val="(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5F4F181E"/>
    <w:multiLevelType w:val="hybridMultilevel"/>
    <w:tmpl w:val="8A8A7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C0488"/>
    <w:multiLevelType w:val="hybridMultilevel"/>
    <w:tmpl w:val="14E6136C"/>
    <w:lvl w:ilvl="0" w:tplc="7EBEC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AB1896"/>
    <w:multiLevelType w:val="hybridMultilevel"/>
    <w:tmpl w:val="B4AA7A82"/>
    <w:lvl w:ilvl="0" w:tplc="B8C6209A">
      <w:start w:val="1"/>
      <w:numFmt w:val="lowerRoman"/>
      <w:lvlText w:val="(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6F722CFA"/>
    <w:multiLevelType w:val="hybridMultilevel"/>
    <w:tmpl w:val="5E52F790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6F98629A"/>
    <w:multiLevelType w:val="hybridMultilevel"/>
    <w:tmpl w:val="5E52F790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731A06CF"/>
    <w:multiLevelType w:val="hybridMultilevel"/>
    <w:tmpl w:val="B7A6D9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543596E"/>
    <w:multiLevelType w:val="hybridMultilevel"/>
    <w:tmpl w:val="B4AA7A82"/>
    <w:lvl w:ilvl="0" w:tplc="B8C6209A">
      <w:start w:val="1"/>
      <w:numFmt w:val="lowerRoman"/>
      <w:lvlText w:val="(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7A9569B7"/>
    <w:multiLevelType w:val="hybridMultilevel"/>
    <w:tmpl w:val="5E52F790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9"/>
  </w:num>
  <w:num w:numId="5">
    <w:abstractNumId w:val="19"/>
  </w:num>
  <w:num w:numId="6">
    <w:abstractNumId w:val="16"/>
  </w:num>
  <w:num w:numId="7">
    <w:abstractNumId w:val="8"/>
  </w:num>
  <w:num w:numId="8">
    <w:abstractNumId w:val="3"/>
  </w:num>
  <w:num w:numId="9">
    <w:abstractNumId w:val="20"/>
  </w:num>
  <w:num w:numId="10">
    <w:abstractNumId w:val="13"/>
  </w:num>
  <w:num w:numId="11">
    <w:abstractNumId w:val="11"/>
  </w:num>
  <w:num w:numId="12">
    <w:abstractNumId w:val="12"/>
  </w:num>
  <w:num w:numId="13">
    <w:abstractNumId w:val="10"/>
  </w:num>
  <w:num w:numId="14">
    <w:abstractNumId w:val="0"/>
  </w:num>
  <w:num w:numId="15">
    <w:abstractNumId w:val="1"/>
  </w:num>
  <w:num w:numId="16">
    <w:abstractNumId w:val="4"/>
  </w:num>
  <w:num w:numId="17">
    <w:abstractNumId w:val="6"/>
  </w:num>
  <w:num w:numId="18">
    <w:abstractNumId w:val="2"/>
  </w:num>
  <w:num w:numId="19">
    <w:abstractNumId w:val="21"/>
  </w:num>
  <w:num w:numId="20">
    <w:abstractNumId w:val="18"/>
  </w:num>
  <w:num w:numId="21">
    <w:abstractNumId w:val="17"/>
  </w:num>
  <w:num w:numId="22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F9"/>
    <w:rsid w:val="00000344"/>
    <w:rsid w:val="0000471D"/>
    <w:rsid w:val="000048A8"/>
    <w:rsid w:val="0000538D"/>
    <w:rsid w:val="00007115"/>
    <w:rsid w:val="00010DD8"/>
    <w:rsid w:val="00015132"/>
    <w:rsid w:val="0002031A"/>
    <w:rsid w:val="00026DF6"/>
    <w:rsid w:val="00027024"/>
    <w:rsid w:val="0003081C"/>
    <w:rsid w:val="00033CC8"/>
    <w:rsid w:val="00034BB0"/>
    <w:rsid w:val="00036228"/>
    <w:rsid w:val="0003625A"/>
    <w:rsid w:val="00046C4B"/>
    <w:rsid w:val="00055B9A"/>
    <w:rsid w:val="00064CAA"/>
    <w:rsid w:val="00067258"/>
    <w:rsid w:val="00070233"/>
    <w:rsid w:val="00073F95"/>
    <w:rsid w:val="00080554"/>
    <w:rsid w:val="00081FEB"/>
    <w:rsid w:val="0008590C"/>
    <w:rsid w:val="000936EB"/>
    <w:rsid w:val="00093B43"/>
    <w:rsid w:val="000A1C2A"/>
    <w:rsid w:val="000A7B8C"/>
    <w:rsid w:val="000B0005"/>
    <w:rsid w:val="000B7ECE"/>
    <w:rsid w:val="000C2177"/>
    <w:rsid w:val="000C6631"/>
    <w:rsid w:val="000D0594"/>
    <w:rsid w:val="000D6C16"/>
    <w:rsid w:val="000E0ECC"/>
    <w:rsid w:val="000E20E5"/>
    <w:rsid w:val="000F0614"/>
    <w:rsid w:val="000F2BF0"/>
    <w:rsid w:val="000F7E82"/>
    <w:rsid w:val="00100479"/>
    <w:rsid w:val="001225A0"/>
    <w:rsid w:val="001252F0"/>
    <w:rsid w:val="001274B1"/>
    <w:rsid w:val="00134E5F"/>
    <w:rsid w:val="00137459"/>
    <w:rsid w:val="00145700"/>
    <w:rsid w:val="00145949"/>
    <w:rsid w:val="00146217"/>
    <w:rsid w:val="001518D1"/>
    <w:rsid w:val="001542F1"/>
    <w:rsid w:val="0015480F"/>
    <w:rsid w:val="00170193"/>
    <w:rsid w:val="00171D47"/>
    <w:rsid w:val="001735E5"/>
    <w:rsid w:val="001967EA"/>
    <w:rsid w:val="001A11EB"/>
    <w:rsid w:val="001A23C5"/>
    <w:rsid w:val="001A6FC6"/>
    <w:rsid w:val="001D0D07"/>
    <w:rsid w:val="001D19B9"/>
    <w:rsid w:val="001D1AF4"/>
    <w:rsid w:val="001D4256"/>
    <w:rsid w:val="001D7C7F"/>
    <w:rsid w:val="001E0E8B"/>
    <w:rsid w:val="001E6A2C"/>
    <w:rsid w:val="001F06D7"/>
    <w:rsid w:val="001F0A78"/>
    <w:rsid w:val="001F644A"/>
    <w:rsid w:val="002048B3"/>
    <w:rsid w:val="00213A99"/>
    <w:rsid w:val="00223473"/>
    <w:rsid w:val="00223EF4"/>
    <w:rsid w:val="00224ACE"/>
    <w:rsid w:val="00246AF9"/>
    <w:rsid w:val="002570ED"/>
    <w:rsid w:val="00263ADF"/>
    <w:rsid w:val="0026414C"/>
    <w:rsid w:val="00266801"/>
    <w:rsid w:val="0026713A"/>
    <w:rsid w:val="002701E7"/>
    <w:rsid w:val="00271199"/>
    <w:rsid w:val="0027390B"/>
    <w:rsid w:val="00274CB7"/>
    <w:rsid w:val="00276DF4"/>
    <w:rsid w:val="002828A5"/>
    <w:rsid w:val="0028509B"/>
    <w:rsid w:val="00285E4B"/>
    <w:rsid w:val="00286B88"/>
    <w:rsid w:val="00286D81"/>
    <w:rsid w:val="002935F5"/>
    <w:rsid w:val="002B6ACC"/>
    <w:rsid w:val="002C2B46"/>
    <w:rsid w:val="002C4DBE"/>
    <w:rsid w:val="002C759B"/>
    <w:rsid w:val="002D2086"/>
    <w:rsid w:val="002D4414"/>
    <w:rsid w:val="002D7DAD"/>
    <w:rsid w:val="002E421F"/>
    <w:rsid w:val="002E446C"/>
    <w:rsid w:val="002E563A"/>
    <w:rsid w:val="002F06AC"/>
    <w:rsid w:val="002F71D5"/>
    <w:rsid w:val="00305198"/>
    <w:rsid w:val="00306FFC"/>
    <w:rsid w:val="0030714F"/>
    <w:rsid w:val="00312BA4"/>
    <w:rsid w:val="00312CCA"/>
    <w:rsid w:val="003147D7"/>
    <w:rsid w:val="00315F14"/>
    <w:rsid w:val="00316697"/>
    <w:rsid w:val="00325DF7"/>
    <w:rsid w:val="0033157D"/>
    <w:rsid w:val="00336616"/>
    <w:rsid w:val="00336903"/>
    <w:rsid w:val="00336DEC"/>
    <w:rsid w:val="00346781"/>
    <w:rsid w:val="00347FDF"/>
    <w:rsid w:val="00356007"/>
    <w:rsid w:val="003670CF"/>
    <w:rsid w:val="00371FB0"/>
    <w:rsid w:val="00372045"/>
    <w:rsid w:val="00372D3A"/>
    <w:rsid w:val="003742A7"/>
    <w:rsid w:val="00375BB6"/>
    <w:rsid w:val="00382FE7"/>
    <w:rsid w:val="003835EF"/>
    <w:rsid w:val="00386177"/>
    <w:rsid w:val="00387BCE"/>
    <w:rsid w:val="00391E2A"/>
    <w:rsid w:val="003943F2"/>
    <w:rsid w:val="003962FD"/>
    <w:rsid w:val="00397C67"/>
    <w:rsid w:val="003A0DF0"/>
    <w:rsid w:val="003A688D"/>
    <w:rsid w:val="003B1FE4"/>
    <w:rsid w:val="003B27CA"/>
    <w:rsid w:val="003B56A7"/>
    <w:rsid w:val="003C10A3"/>
    <w:rsid w:val="003C153E"/>
    <w:rsid w:val="003C2A77"/>
    <w:rsid w:val="003E06EF"/>
    <w:rsid w:val="003E454B"/>
    <w:rsid w:val="003E495D"/>
    <w:rsid w:val="003E58BB"/>
    <w:rsid w:val="003F19EF"/>
    <w:rsid w:val="003F45BA"/>
    <w:rsid w:val="00401AA1"/>
    <w:rsid w:val="004142BB"/>
    <w:rsid w:val="004203BE"/>
    <w:rsid w:val="00420A87"/>
    <w:rsid w:val="00420C88"/>
    <w:rsid w:val="0042161A"/>
    <w:rsid w:val="00424F1B"/>
    <w:rsid w:val="00444B86"/>
    <w:rsid w:val="00447C8E"/>
    <w:rsid w:val="00452D10"/>
    <w:rsid w:val="0045573B"/>
    <w:rsid w:val="004560E2"/>
    <w:rsid w:val="004615D6"/>
    <w:rsid w:val="00462D68"/>
    <w:rsid w:val="00464B9F"/>
    <w:rsid w:val="00466CD5"/>
    <w:rsid w:val="00470794"/>
    <w:rsid w:val="00474F7D"/>
    <w:rsid w:val="00475E34"/>
    <w:rsid w:val="0048067C"/>
    <w:rsid w:val="00481CDC"/>
    <w:rsid w:val="004922EA"/>
    <w:rsid w:val="00494D09"/>
    <w:rsid w:val="004A2C52"/>
    <w:rsid w:val="004A5F97"/>
    <w:rsid w:val="004A6FF3"/>
    <w:rsid w:val="004B0B4B"/>
    <w:rsid w:val="004B2F4E"/>
    <w:rsid w:val="004C09FF"/>
    <w:rsid w:val="004C6081"/>
    <w:rsid w:val="004D64F6"/>
    <w:rsid w:val="004D6EFA"/>
    <w:rsid w:val="004D7F21"/>
    <w:rsid w:val="004E0308"/>
    <w:rsid w:val="004E3661"/>
    <w:rsid w:val="004E544D"/>
    <w:rsid w:val="004E6DC0"/>
    <w:rsid w:val="004E71ED"/>
    <w:rsid w:val="004F20BC"/>
    <w:rsid w:val="004F4BF9"/>
    <w:rsid w:val="00504655"/>
    <w:rsid w:val="0050512D"/>
    <w:rsid w:val="00505796"/>
    <w:rsid w:val="00514E18"/>
    <w:rsid w:val="00516DBE"/>
    <w:rsid w:val="005230E0"/>
    <w:rsid w:val="0052560C"/>
    <w:rsid w:val="005403FE"/>
    <w:rsid w:val="00542B27"/>
    <w:rsid w:val="00551EF9"/>
    <w:rsid w:val="005530BD"/>
    <w:rsid w:val="00553B08"/>
    <w:rsid w:val="00566E30"/>
    <w:rsid w:val="00567E72"/>
    <w:rsid w:val="00570AC6"/>
    <w:rsid w:val="005711BC"/>
    <w:rsid w:val="0057448E"/>
    <w:rsid w:val="00577DF9"/>
    <w:rsid w:val="0058352A"/>
    <w:rsid w:val="00584BA1"/>
    <w:rsid w:val="0059006E"/>
    <w:rsid w:val="00592F6D"/>
    <w:rsid w:val="005945F1"/>
    <w:rsid w:val="005A726F"/>
    <w:rsid w:val="005B075C"/>
    <w:rsid w:val="005B4DA6"/>
    <w:rsid w:val="005C146D"/>
    <w:rsid w:val="005C18C3"/>
    <w:rsid w:val="005C4545"/>
    <w:rsid w:val="005D113B"/>
    <w:rsid w:val="005D64B5"/>
    <w:rsid w:val="005F0E60"/>
    <w:rsid w:val="005F3386"/>
    <w:rsid w:val="005F4582"/>
    <w:rsid w:val="005F4D42"/>
    <w:rsid w:val="005F55D0"/>
    <w:rsid w:val="005F5A5E"/>
    <w:rsid w:val="006033EA"/>
    <w:rsid w:val="00605FCF"/>
    <w:rsid w:val="00607392"/>
    <w:rsid w:val="00611224"/>
    <w:rsid w:val="00611772"/>
    <w:rsid w:val="00616E21"/>
    <w:rsid w:val="00622E01"/>
    <w:rsid w:val="00624262"/>
    <w:rsid w:val="006334A2"/>
    <w:rsid w:val="0063437B"/>
    <w:rsid w:val="00634726"/>
    <w:rsid w:val="00642E36"/>
    <w:rsid w:val="0064374B"/>
    <w:rsid w:val="00643B78"/>
    <w:rsid w:val="00652313"/>
    <w:rsid w:val="0065768C"/>
    <w:rsid w:val="00657C92"/>
    <w:rsid w:val="00665F94"/>
    <w:rsid w:val="00673A0E"/>
    <w:rsid w:val="0067428E"/>
    <w:rsid w:val="006A1773"/>
    <w:rsid w:val="006A37ED"/>
    <w:rsid w:val="006A61F7"/>
    <w:rsid w:val="006B1688"/>
    <w:rsid w:val="006B2577"/>
    <w:rsid w:val="006B399C"/>
    <w:rsid w:val="006B59B6"/>
    <w:rsid w:val="006C03FA"/>
    <w:rsid w:val="006C0D12"/>
    <w:rsid w:val="006C17AE"/>
    <w:rsid w:val="006C337D"/>
    <w:rsid w:val="006C6EC2"/>
    <w:rsid w:val="006D1277"/>
    <w:rsid w:val="006E1637"/>
    <w:rsid w:val="006E1756"/>
    <w:rsid w:val="006E34F5"/>
    <w:rsid w:val="006E4E55"/>
    <w:rsid w:val="006E52CD"/>
    <w:rsid w:val="006E59BC"/>
    <w:rsid w:val="006E7A37"/>
    <w:rsid w:val="006F0E0C"/>
    <w:rsid w:val="006F3EC3"/>
    <w:rsid w:val="006F5382"/>
    <w:rsid w:val="007012EE"/>
    <w:rsid w:val="00702E23"/>
    <w:rsid w:val="007059EA"/>
    <w:rsid w:val="007125C8"/>
    <w:rsid w:val="00713097"/>
    <w:rsid w:val="00721436"/>
    <w:rsid w:val="00722D0C"/>
    <w:rsid w:val="007257AB"/>
    <w:rsid w:val="0072642F"/>
    <w:rsid w:val="00727B0A"/>
    <w:rsid w:val="00732E72"/>
    <w:rsid w:val="00745005"/>
    <w:rsid w:val="00745CA5"/>
    <w:rsid w:val="00750F59"/>
    <w:rsid w:val="0075224B"/>
    <w:rsid w:val="00754A8C"/>
    <w:rsid w:val="00755EA0"/>
    <w:rsid w:val="00757BE1"/>
    <w:rsid w:val="00762615"/>
    <w:rsid w:val="007629F1"/>
    <w:rsid w:val="00765EE7"/>
    <w:rsid w:val="00766AD1"/>
    <w:rsid w:val="00766E7E"/>
    <w:rsid w:val="00775E59"/>
    <w:rsid w:val="0078172D"/>
    <w:rsid w:val="00791F29"/>
    <w:rsid w:val="00797C39"/>
    <w:rsid w:val="007B268C"/>
    <w:rsid w:val="007B36AA"/>
    <w:rsid w:val="007B5D81"/>
    <w:rsid w:val="007B6B9B"/>
    <w:rsid w:val="007C1295"/>
    <w:rsid w:val="007C1D0E"/>
    <w:rsid w:val="007C34D9"/>
    <w:rsid w:val="007C4026"/>
    <w:rsid w:val="007C439C"/>
    <w:rsid w:val="007C56D9"/>
    <w:rsid w:val="007D2A34"/>
    <w:rsid w:val="007D430B"/>
    <w:rsid w:val="007D5C27"/>
    <w:rsid w:val="007E0320"/>
    <w:rsid w:val="007E224F"/>
    <w:rsid w:val="007E3361"/>
    <w:rsid w:val="007F7F37"/>
    <w:rsid w:val="0080114D"/>
    <w:rsid w:val="00802249"/>
    <w:rsid w:val="008051DC"/>
    <w:rsid w:val="0081381D"/>
    <w:rsid w:val="00813D13"/>
    <w:rsid w:val="008206C5"/>
    <w:rsid w:val="008312E6"/>
    <w:rsid w:val="00834B57"/>
    <w:rsid w:val="00836848"/>
    <w:rsid w:val="008417D3"/>
    <w:rsid w:val="008458F0"/>
    <w:rsid w:val="00845B78"/>
    <w:rsid w:val="00851254"/>
    <w:rsid w:val="00852F16"/>
    <w:rsid w:val="00853268"/>
    <w:rsid w:val="0085671C"/>
    <w:rsid w:val="00861972"/>
    <w:rsid w:val="00863DD7"/>
    <w:rsid w:val="00870F24"/>
    <w:rsid w:val="008752EB"/>
    <w:rsid w:val="00884366"/>
    <w:rsid w:val="00885BC0"/>
    <w:rsid w:val="00886DD7"/>
    <w:rsid w:val="00892551"/>
    <w:rsid w:val="008A0F0E"/>
    <w:rsid w:val="008A685F"/>
    <w:rsid w:val="008A7D2C"/>
    <w:rsid w:val="008A7DB1"/>
    <w:rsid w:val="008B1C78"/>
    <w:rsid w:val="008B2002"/>
    <w:rsid w:val="008B4CB2"/>
    <w:rsid w:val="008C5423"/>
    <w:rsid w:val="008D756D"/>
    <w:rsid w:val="008E0358"/>
    <w:rsid w:val="008E3EB1"/>
    <w:rsid w:val="008F3F1D"/>
    <w:rsid w:val="008F7477"/>
    <w:rsid w:val="0090025F"/>
    <w:rsid w:val="0090440C"/>
    <w:rsid w:val="00921151"/>
    <w:rsid w:val="009249B9"/>
    <w:rsid w:val="00924BC1"/>
    <w:rsid w:val="00932ED9"/>
    <w:rsid w:val="009347DF"/>
    <w:rsid w:val="00942104"/>
    <w:rsid w:val="0094762F"/>
    <w:rsid w:val="009540F2"/>
    <w:rsid w:val="00961750"/>
    <w:rsid w:val="00961D05"/>
    <w:rsid w:val="00965539"/>
    <w:rsid w:val="00965919"/>
    <w:rsid w:val="009660EF"/>
    <w:rsid w:val="009661F3"/>
    <w:rsid w:val="00966C16"/>
    <w:rsid w:val="0097130B"/>
    <w:rsid w:val="00972549"/>
    <w:rsid w:val="00972875"/>
    <w:rsid w:val="00974540"/>
    <w:rsid w:val="00975B4D"/>
    <w:rsid w:val="00982F41"/>
    <w:rsid w:val="00986518"/>
    <w:rsid w:val="009879EC"/>
    <w:rsid w:val="009911C1"/>
    <w:rsid w:val="00992B3E"/>
    <w:rsid w:val="009941EA"/>
    <w:rsid w:val="00995C8C"/>
    <w:rsid w:val="009979EE"/>
    <w:rsid w:val="009A00D7"/>
    <w:rsid w:val="009A031D"/>
    <w:rsid w:val="009A4108"/>
    <w:rsid w:val="009A4780"/>
    <w:rsid w:val="009B1927"/>
    <w:rsid w:val="009B1BB9"/>
    <w:rsid w:val="009B2067"/>
    <w:rsid w:val="009B3386"/>
    <w:rsid w:val="009B55F3"/>
    <w:rsid w:val="009B6225"/>
    <w:rsid w:val="009B6B10"/>
    <w:rsid w:val="009B7D80"/>
    <w:rsid w:val="009C0D52"/>
    <w:rsid w:val="009C577D"/>
    <w:rsid w:val="009D1A8D"/>
    <w:rsid w:val="009D5B4E"/>
    <w:rsid w:val="009E19BB"/>
    <w:rsid w:val="009E43DC"/>
    <w:rsid w:val="009F0F3F"/>
    <w:rsid w:val="009F61AB"/>
    <w:rsid w:val="009F6570"/>
    <w:rsid w:val="00A011AE"/>
    <w:rsid w:val="00A0281C"/>
    <w:rsid w:val="00A03103"/>
    <w:rsid w:val="00A133B5"/>
    <w:rsid w:val="00A141F5"/>
    <w:rsid w:val="00A3253A"/>
    <w:rsid w:val="00A356BF"/>
    <w:rsid w:val="00A401CD"/>
    <w:rsid w:val="00A42082"/>
    <w:rsid w:val="00A453E6"/>
    <w:rsid w:val="00A45E53"/>
    <w:rsid w:val="00A464AA"/>
    <w:rsid w:val="00A578DD"/>
    <w:rsid w:val="00A67D4F"/>
    <w:rsid w:val="00A717B2"/>
    <w:rsid w:val="00A77B97"/>
    <w:rsid w:val="00A83AC3"/>
    <w:rsid w:val="00A90FE1"/>
    <w:rsid w:val="00A9691A"/>
    <w:rsid w:val="00A973E0"/>
    <w:rsid w:val="00A9761B"/>
    <w:rsid w:val="00AA1034"/>
    <w:rsid w:val="00AB17E7"/>
    <w:rsid w:val="00AB233E"/>
    <w:rsid w:val="00AB442C"/>
    <w:rsid w:val="00AB443E"/>
    <w:rsid w:val="00AB5359"/>
    <w:rsid w:val="00AB57F6"/>
    <w:rsid w:val="00AC086F"/>
    <w:rsid w:val="00AD2B8C"/>
    <w:rsid w:val="00AE08F1"/>
    <w:rsid w:val="00AE29F5"/>
    <w:rsid w:val="00AE5664"/>
    <w:rsid w:val="00AE6CBC"/>
    <w:rsid w:val="00AF1BEF"/>
    <w:rsid w:val="00AF3453"/>
    <w:rsid w:val="00B14401"/>
    <w:rsid w:val="00B1648E"/>
    <w:rsid w:val="00B173C6"/>
    <w:rsid w:val="00B24500"/>
    <w:rsid w:val="00B3180C"/>
    <w:rsid w:val="00B33E0A"/>
    <w:rsid w:val="00B4047A"/>
    <w:rsid w:val="00B40DF6"/>
    <w:rsid w:val="00B43171"/>
    <w:rsid w:val="00B43340"/>
    <w:rsid w:val="00B4343F"/>
    <w:rsid w:val="00B44599"/>
    <w:rsid w:val="00B45ECB"/>
    <w:rsid w:val="00B4680D"/>
    <w:rsid w:val="00B47246"/>
    <w:rsid w:val="00B47894"/>
    <w:rsid w:val="00B546EF"/>
    <w:rsid w:val="00B608DC"/>
    <w:rsid w:val="00B618F5"/>
    <w:rsid w:val="00B67545"/>
    <w:rsid w:val="00B702E9"/>
    <w:rsid w:val="00B74760"/>
    <w:rsid w:val="00B76535"/>
    <w:rsid w:val="00B827F3"/>
    <w:rsid w:val="00B845DF"/>
    <w:rsid w:val="00B92B26"/>
    <w:rsid w:val="00BA2728"/>
    <w:rsid w:val="00BA467B"/>
    <w:rsid w:val="00BC21B7"/>
    <w:rsid w:val="00BC5D6C"/>
    <w:rsid w:val="00BD5BC7"/>
    <w:rsid w:val="00BD694A"/>
    <w:rsid w:val="00BD7EFC"/>
    <w:rsid w:val="00BF0902"/>
    <w:rsid w:val="00C01237"/>
    <w:rsid w:val="00C06608"/>
    <w:rsid w:val="00C07DBF"/>
    <w:rsid w:val="00C12AF0"/>
    <w:rsid w:val="00C15230"/>
    <w:rsid w:val="00C1678B"/>
    <w:rsid w:val="00C175F6"/>
    <w:rsid w:val="00C2065C"/>
    <w:rsid w:val="00C23C9F"/>
    <w:rsid w:val="00C343E1"/>
    <w:rsid w:val="00C42A4A"/>
    <w:rsid w:val="00C4419B"/>
    <w:rsid w:val="00C5046E"/>
    <w:rsid w:val="00C6427D"/>
    <w:rsid w:val="00C65B2A"/>
    <w:rsid w:val="00C6721A"/>
    <w:rsid w:val="00C67E47"/>
    <w:rsid w:val="00C71142"/>
    <w:rsid w:val="00C74831"/>
    <w:rsid w:val="00C8481D"/>
    <w:rsid w:val="00C8644A"/>
    <w:rsid w:val="00C97CB0"/>
    <w:rsid w:val="00CA22AD"/>
    <w:rsid w:val="00CA3795"/>
    <w:rsid w:val="00CA4481"/>
    <w:rsid w:val="00CB3A5C"/>
    <w:rsid w:val="00CC1991"/>
    <w:rsid w:val="00CC3A0A"/>
    <w:rsid w:val="00CC3BEE"/>
    <w:rsid w:val="00CD0447"/>
    <w:rsid w:val="00CD3631"/>
    <w:rsid w:val="00CE57C3"/>
    <w:rsid w:val="00CE63C3"/>
    <w:rsid w:val="00CF067D"/>
    <w:rsid w:val="00CF5536"/>
    <w:rsid w:val="00D022CD"/>
    <w:rsid w:val="00D0582D"/>
    <w:rsid w:val="00D121FA"/>
    <w:rsid w:val="00D1350E"/>
    <w:rsid w:val="00D14B48"/>
    <w:rsid w:val="00D2340D"/>
    <w:rsid w:val="00D24679"/>
    <w:rsid w:val="00D248F8"/>
    <w:rsid w:val="00D3115D"/>
    <w:rsid w:val="00D358E3"/>
    <w:rsid w:val="00D41ED4"/>
    <w:rsid w:val="00D42797"/>
    <w:rsid w:val="00D448E0"/>
    <w:rsid w:val="00D46F89"/>
    <w:rsid w:val="00D471D6"/>
    <w:rsid w:val="00D47718"/>
    <w:rsid w:val="00D54695"/>
    <w:rsid w:val="00D55B81"/>
    <w:rsid w:val="00D571FC"/>
    <w:rsid w:val="00D57883"/>
    <w:rsid w:val="00D61608"/>
    <w:rsid w:val="00D642AA"/>
    <w:rsid w:val="00D73287"/>
    <w:rsid w:val="00D74DBA"/>
    <w:rsid w:val="00D76E44"/>
    <w:rsid w:val="00D804C2"/>
    <w:rsid w:val="00D810F6"/>
    <w:rsid w:val="00D93636"/>
    <w:rsid w:val="00D95993"/>
    <w:rsid w:val="00DA0996"/>
    <w:rsid w:val="00DB6A98"/>
    <w:rsid w:val="00DC038A"/>
    <w:rsid w:val="00DC143A"/>
    <w:rsid w:val="00DC1912"/>
    <w:rsid w:val="00DD1466"/>
    <w:rsid w:val="00DE5460"/>
    <w:rsid w:val="00E03C93"/>
    <w:rsid w:val="00E03D7C"/>
    <w:rsid w:val="00E0425B"/>
    <w:rsid w:val="00E076F0"/>
    <w:rsid w:val="00E11F2D"/>
    <w:rsid w:val="00E16DF6"/>
    <w:rsid w:val="00E24A99"/>
    <w:rsid w:val="00E2724D"/>
    <w:rsid w:val="00E31BB3"/>
    <w:rsid w:val="00E32B77"/>
    <w:rsid w:val="00E32C0D"/>
    <w:rsid w:val="00E33B67"/>
    <w:rsid w:val="00E37330"/>
    <w:rsid w:val="00E40BCB"/>
    <w:rsid w:val="00E44DA9"/>
    <w:rsid w:val="00E55AD4"/>
    <w:rsid w:val="00E60ED9"/>
    <w:rsid w:val="00E63C01"/>
    <w:rsid w:val="00E64847"/>
    <w:rsid w:val="00E67F54"/>
    <w:rsid w:val="00E70B3C"/>
    <w:rsid w:val="00E7102D"/>
    <w:rsid w:val="00E71050"/>
    <w:rsid w:val="00E730B8"/>
    <w:rsid w:val="00E807CC"/>
    <w:rsid w:val="00E85270"/>
    <w:rsid w:val="00E87C7A"/>
    <w:rsid w:val="00E9129A"/>
    <w:rsid w:val="00E963D8"/>
    <w:rsid w:val="00EA291D"/>
    <w:rsid w:val="00EA3E0A"/>
    <w:rsid w:val="00EA431A"/>
    <w:rsid w:val="00EA5B23"/>
    <w:rsid w:val="00EB0B3E"/>
    <w:rsid w:val="00EB25EB"/>
    <w:rsid w:val="00EB3A4F"/>
    <w:rsid w:val="00EB6070"/>
    <w:rsid w:val="00EB7707"/>
    <w:rsid w:val="00EC06FB"/>
    <w:rsid w:val="00EC4B00"/>
    <w:rsid w:val="00EC5120"/>
    <w:rsid w:val="00EC512A"/>
    <w:rsid w:val="00EC52D6"/>
    <w:rsid w:val="00EC6D5A"/>
    <w:rsid w:val="00ED4CD1"/>
    <w:rsid w:val="00ED5352"/>
    <w:rsid w:val="00ED5C84"/>
    <w:rsid w:val="00EE0FCB"/>
    <w:rsid w:val="00EE6830"/>
    <w:rsid w:val="00EF74F0"/>
    <w:rsid w:val="00F0651C"/>
    <w:rsid w:val="00F0676A"/>
    <w:rsid w:val="00F1102D"/>
    <w:rsid w:val="00F12ED8"/>
    <w:rsid w:val="00F14A88"/>
    <w:rsid w:val="00F171CC"/>
    <w:rsid w:val="00F23D37"/>
    <w:rsid w:val="00F2447E"/>
    <w:rsid w:val="00F2546D"/>
    <w:rsid w:val="00F25CFB"/>
    <w:rsid w:val="00F2708C"/>
    <w:rsid w:val="00F3142B"/>
    <w:rsid w:val="00F32797"/>
    <w:rsid w:val="00F35DF0"/>
    <w:rsid w:val="00F372FD"/>
    <w:rsid w:val="00F37CC0"/>
    <w:rsid w:val="00F42B29"/>
    <w:rsid w:val="00F42C3E"/>
    <w:rsid w:val="00F456EB"/>
    <w:rsid w:val="00F46187"/>
    <w:rsid w:val="00F50A30"/>
    <w:rsid w:val="00F66D16"/>
    <w:rsid w:val="00F72D51"/>
    <w:rsid w:val="00F7525B"/>
    <w:rsid w:val="00F82427"/>
    <w:rsid w:val="00F860B5"/>
    <w:rsid w:val="00F92662"/>
    <w:rsid w:val="00F975D2"/>
    <w:rsid w:val="00FA7584"/>
    <w:rsid w:val="00FB2D22"/>
    <w:rsid w:val="00FB4A47"/>
    <w:rsid w:val="00FB5110"/>
    <w:rsid w:val="00FB7F1A"/>
    <w:rsid w:val="00FC466E"/>
    <w:rsid w:val="00FC5182"/>
    <w:rsid w:val="00FD0AE2"/>
    <w:rsid w:val="00FD141F"/>
    <w:rsid w:val="00FE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727991"/>
  <w15:chartTrackingRefBased/>
  <w15:docId w15:val="{F31BC502-A0CB-4142-8AC6-4F5B03C2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ind w:left="4248" w:firstLine="708"/>
      <w:outlineLvl w:val="0"/>
    </w:pPr>
    <w:rPr>
      <w:rFonts w:ascii="Arial" w:hAnsi="Arial" w:cs="Arial"/>
      <w:color w:val="0000FF"/>
      <w:u w:val="single"/>
    </w:rPr>
  </w:style>
  <w:style w:type="paragraph" w:styleId="Nagwek2">
    <w:name w:val="heading 2"/>
    <w:basedOn w:val="Normalny"/>
    <w:next w:val="Normalny"/>
    <w:qFormat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3366FF"/>
      <w:sz w:val="22"/>
      <w:szCs w:val="36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rFonts w:ascii="Arial" w:hAnsi="Arial" w:cs="Arial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7C1D0E"/>
    <w:pPr>
      <w:autoSpaceDE w:val="0"/>
      <w:autoSpaceDN w:val="0"/>
      <w:adjustRightInd w:val="0"/>
      <w:ind w:left="360" w:hanging="360"/>
    </w:pPr>
    <w:rPr>
      <w:rFonts w:ascii="Arial" w:hAnsi="Arial" w:cs="Arial"/>
      <w:color w:val="000000"/>
    </w:rPr>
  </w:style>
  <w:style w:type="paragraph" w:styleId="Tekstpodstawowywcity2">
    <w:name w:val="Body Text Indent 2"/>
    <w:basedOn w:val="Normalny"/>
    <w:rsid w:val="007C1D0E"/>
    <w:pPr>
      <w:autoSpaceDE w:val="0"/>
      <w:autoSpaceDN w:val="0"/>
      <w:adjustRightInd w:val="0"/>
      <w:ind w:left="180" w:hanging="180"/>
    </w:pPr>
    <w:rPr>
      <w:rFonts w:ascii="Arial" w:hAnsi="Arial" w:cs="Arial"/>
      <w:color w:val="000000"/>
    </w:rPr>
  </w:style>
  <w:style w:type="paragraph" w:styleId="Tekstpodstawowywcity3">
    <w:name w:val="Body Text Indent 3"/>
    <w:basedOn w:val="Normalny"/>
    <w:rsid w:val="007C1D0E"/>
    <w:pPr>
      <w:tabs>
        <w:tab w:val="left" w:pos="540"/>
      </w:tabs>
      <w:autoSpaceDE w:val="0"/>
      <w:autoSpaceDN w:val="0"/>
      <w:adjustRightInd w:val="0"/>
      <w:ind w:left="540" w:hanging="180"/>
    </w:pPr>
    <w:rPr>
      <w:rFonts w:ascii="Arial" w:hAnsi="Arial" w:cs="Arial"/>
      <w:color w:val="000000"/>
    </w:rPr>
  </w:style>
  <w:style w:type="paragraph" w:styleId="Tekstpodstawowy">
    <w:name w:val="Body Text"/>
    <w:basedOn w:val="Normalny"/>
    <w:rsid w:val="007C1D0E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7C1D0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C1D0E"/>
  </w:style>
  <w:style w:type="paragraph" w:customStyle="1" w:styleId="celp">
    <w:name w:val="cel_p"/>
    <w:basedOn w:val="Normalny"/>
    <w:pPr>
      <w:spacing w:after="15"/>
      <w:ind w:left="15" w:right="15"/>
      <w:jc w:val="both"/>
      <w:textAlignment w:val="top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autoRedefine/>
    <w:semiHidden/>
    <w:qFormat/>
    <w:rsid w:val="00481CDC"/>
    <w:rPr>
      <w:rFonts w:ascii="Calibri Light" w:hAnsi="Calibri Light"/>
      <w:color w:val="4472C4" w:themeColor="accent1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pistreci1">
    <w:name w:val="toc 1"/>
    <w:basedOn w:val="Normalny"/>
    <w:next w:val="Normalny"/>
    <w:autoRedefine/>
    <w:uiPriority w:val="39"/>
    <w:rsid w:val="00E03C93"/>
    <w:pPr>
      <w:tabs>
        <w:tab w:val="left" w:pos="720"/>
        <w:tab w:val="right" w:leader="dot" w:pos="8828"/>
      </w:tabs>
      <w:spacing w:before="120" w:after="120"/>
    </w:pPr>
    <w:rPr>
      <w:rFonts w:asciiTheme="majorHAnsi" w:hAnsiTheme="majorHAnsi" w:cstheme="majorHAnsi"/>
      <w:bCs/>
      <w:noProof/>
    </w:rPr>
  </w:style>
  <w:style w:type="paragraph" w:styleId="Spistreci2">
    <w:name w:val="toc 2"/>
    <w:basedOn w:val="Normalny"/>
    <w:next w:val="Normalny"/>
    <w:autoRedefine/>
    <w:semiHidden/>
    <w:pPr>
      <w:ind w:left="240"/>
    </w:pPr>
  </w:style>
  <w:style w:type="paragraph" w:styleId="Spistreci3">
    <w:name w:val="toc 3"/>
    <w:basedOn w:val="Normalny"/>
    <w:next w:val="Normalny"/>
    <w:autoRedefine/>
    <w:semiHidden/>
    <w:pPr>
      <w:ind w:left="480"/>
    </w:pPr>
  </w:style>
  <w:style w:type="paragraph" w:styleId="Spistreci4">
    <w:name w:val="toc 4"/>
    <w:basedOn w:val="Normalny"/>
    <w:next w:val="Normalny"/>
    <w:autoRedefine/>
    <w:semiHidden/>
    <w:pPr>
      <w:ind w:left="720"/>
    </w:pPr>
  </w:style>
  <w:style w:type="paragraph" w:styleId="Spistreci5">
    <w:name w:val="toc 5"/>
    <w:basedOn w:val="Normalny"/>
    <w:next w:val="Normalny"/>
    <w:autoRedefine/>
    <w:semiHidden/>
    <w:pPr>
      <w:ind w:left="960"/>
    </w:p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character" w:styleId="Hipercze">
    <w:name w:val="Hyperlink"/>
    <w:uiPriority w:val="99"/>
    <w:rsid w:val="007C1D0E"/>
    <w:rPr>
      <w:color w:val="0000FF"/>
      <w:u w:val="single"/>
    </w:rPr>
  </w:style>
  <w:style w:type="paragraph" w:styleId="Tekstpodstawowy2">
    <w:name w:val="Body Text 2"/>
    <w:basedOn w:val="Normalny"/>
    <w:rsid w:val="007C1D0E"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Mapadokumentu">
    <w:name w:val="Document Map"/>
    <w:basedOn w:val="Normalny"/>
    <w:semiHidden/>
    <w:rsid w:val="004F4BF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prawka">
    <w:name w:val="Revision"/>
    <w:hidden/>
    <w:uiPriority w:val="99"/>
    <w:semiHidden/>
    <w:rsid w:val="00566E30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7C1D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C1D0E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1A11EB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A11EB"/>
    <w:rPr>
      <w:rFonts w:ascii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B07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12548-D575-4472-90EA-9AB9A8A7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1431</Words>
  <Characters>8592</Characters>
  <Application>Microsoft Office Word</Application>
  <DocSecurity>2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10003</CharactersWithSpaces>
  <SharedDoc>false</SharedDoc>
  <HLinks>
    <vt:vector size="96" baseType="variant">
      <vt:variant>
        <vt:i4>1703986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_Toc302550681</vt:lpwstr>
      </vt:variant>
      <vt:variant>
        <vt:i4>1703986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_Toc302550680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_Toc302550679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_Toc302550678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_Toc302550677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_Toc302550676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_Toc302550675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_Toc302550674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_Toc302550673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_Toc302550672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_Toc302550671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_Toc302550670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_Toc302550669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_Toc302550668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_Toc302550667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_Toc302550666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HCelich</dc:creator>
  <cp:keywords/>
  <cp:lastModifiedBy>Celich Hubert</cp:lastModifiedBy>
  <cp:revision>4</cp:revision>
  <cp:lastPrinted>2019-11-16T11:40:00Z</cp:lastPrinted>
  <dcterms:created xsi:type="dcterms:W3CDTF">2022-02-24T06:03:00Z</dcterms:created>
  <dcterms:modified xsi:type="dcterms:W3CDTF">2022-02-24T06:48:00Z</dcterms:modified>
</cp:coreProperties>
</file>