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2ED7AB8" w14:textId="77777777" w:rsidR="006B4DFE" w:rsidRPr="006B4DFE" w:rsidRDefault="006B4DFE" w:rsidP="006B4DFE">
      <w:pPr>
        <w:suppressAutoHyphens/>
        <w:spacing w:after="0" w:line="240" w:lineRule="auto"/>
        <w:ind w:left="709"/>
        <w:jc w:val="both"/>
        <w:rPr>
          <w:rFonts w:ascii="Calibri" w:eastAsia="Times New Roman" w:hAnsi="Calibri" w:cs="Times New Roman"/>
          <w:lang w:eastAsia="zh-CN"/>
        </w:rPr>
      </w:pPr>
    </w:p>
    <w:p w14:paraId="6B8992C6" w14:textId="77777777" w:rsidR="006B4DFE" w:rsidRPr="006B4DFE" w:rsidRDefault="006B4DFE" w:rsidP="006B4DFE">
      <w:pPr>
        <w:spacing w:after="0" w:line="240" w:lineRule="auto"/>
        <w:jc w:val="center"/>
        <w:rPr>
          <w:rFonts w:ascii="Calibri" w:eastAsia="Times New Roman" w:hAnsi="Calibri" w:cs="Arial"/>
          <w:b/>
          <w:bCs/>
          <w:color w:val="000000"/>
          <w:u w:val="single"/>
          <w:lang w:eastAsia="pl-PL"/>
        </w:rPr>
      </w:pPr>
      <w:r w:rsidRPr="006B4DFE">
        <w:rPr>
          <w:rFonts w:ascii="Calibri" w:eastAsia="Times New Roman" w:hAnsi="Calibri" w:cs="Arial"/>
          <w:b/>
          <w:bCs/>
          <w:color w:val="000000"/>
          <w:u w:val="single"/>
          <w:lang w:eastAsia="pl-PL"/>
        </w:rPr>
        <w:t>KLAUZULA INFORMACYJNA STANOWIĄCA REALIZACJĘ OBOWIĄZKU</w:t>
      </w:r>
      <w:r w:rsidRPr="006B4DFE">
        <w:rPr>
          <w:rFonts w:ascii="Calibri" w:eastAsia="Times New Roman" w:hAnsi="Calibri" w:cs="Arial"/>
          <w:b/>
          <w:bCs/>
          <w:color w:val="000000"/>
          <w:u w:val="single"/>
          <w:lang w:eastAsia="pl-PL"/>
        </w:rPr>
        <w:br/>
        <w:t xml:space="preserve"> INFORMACYJNEGO WYNIKAJĄCEGO Z ART. 13 I 14 RODO</w:t>
      </w:r>
    </w:p>
    <w:p w14:paraId="17D09D09" w14:textId="77777777" w:rsidR="006B4DFE" w:rsidRPr="006B4DFE" w:rsidRDefault="006B4DFE" w:rsidP="006B4DFE">
      <w:pPr>
        <w:spacing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  <w:u w:val="single"/>
          <w:lang w:eastAsia="pl-PL"/>
        </w:rPr>
      </w:pPr>
    </w:p>
    <w:p w14:paraId="39252A6D" w14:textId="77777777" w:rsidR="006B4DFE" w:rsidRPr="006B4DFE" w:rsidRDefault="006B4DFE" w:rsidP="006B4DFE">
      <w:pPr>
        <w:spacing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6B4DFE"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Załącznik nr 6 do umowy </w:t>
      </w:r>
    </w:p>
    <w:p w14:paraId="61D96E5D" w14:textId="77777777" w:rsidR="006B4DFE" w:rsidRPr="006B4DFE" w:rsidRDefault="006B4DFE" w:rsidP="006B4DFE">
      <w:pPr>
        <w:spacing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6B4DFE">
        <w:rPr>
          <w:rFonts w:ascii="Calibri" w:eastAsia="Times New Roman" w:hAnsi="Calibri" w:cs="Calibri"/>
          <w:b/>
          <w:sz w:val="24"/>
          <w:szCs w:val="24"/>
          <w:lang w:eastAsia="pl-PL"/>
        </w:rPr>
        <w:t>na wykonanie zamówienia pod nazwą:</w:t>
      </w:r>
    </w:p>
    <w:p w14:paraId="6D6BCCA9" w14:textId="1A427C05" w:rsidR="006B4DFE" w:rsidRPr="006B4DFE" w:rsidRDefault="006B4DFE" w:rsidP="006B4DFE">
      <w:pPr>
        <w:pBdr>
          <w:bottom w:val="single" w:sz="12" w:space="1" w:color="auto"/>
        </w:pBdr>
        <w:spacing w:after="0" w:line="240" w:lineRule="auto"/>
        <w:jc w:val="center"/>
        <w:rPr>
          <w:rFonts w:ascii="Calibri" w:eastAsia="Times New Roman" w:hAnsi="Calibri" w:cs="Times New Roman"/>
          <w:b/>
          <w:sz w:val="24"/>
          <w:szCs w:val="24"/>
          <w:lang w:eastAsia="pl-PL"/>
        </w:rPr>
      </w:pPr>
      <w:r w:rsidRPr="006B4DFE">
        <w:rPr>
          <w:rFonts w:ascii="Calibri" w:eastAsia="Times New Roman" w:hAnsi="Calibri" w:cs="Times New Roman"/>
          <w:b/>
          <w:sz w:val="24"/>
          <w:szCs w:val="24"/>
          <w:lang w:eastAsia="pl-PL"/>
        </w:rPr>
        <w:t xml:space="preserve">„Zakup i dostawa wyposażenia do obsługi ładunków intermodalnych w ramach zadania pn. „Przystosowanie infrastruktury Terminala Promowego w Świnoujściu do obsługi transportu intermodalnego”” – Część </w:t>
      </w:r>
      <w:r w:rsidR="003904A4">
        <w:rPr>
          <w:rFonts w:ascii="Calibri" w:eastAsia="Times New Roman" w:hAnsi="Calibri" w:cs="Times New Roman"/>
          <w:b/>
          <w:sz w:val="24"/>
          <w:szCs w:val="24"/>
          <w:lang w:eastAsia="pl-PL"/>
        </w:rPr>
        <w:t>4</w:t>
      </w:r>
      <w:r w:rsidRPr="006B4DFE">
        <w:rPr>
          <w:rFonts w:ascii="Calibri" w:eastAsia="Times New Roman" w:hAnsi="Calibri" w:cs="Times New Roman"/>
          <w:b/>
          <w:sz w:val="24"/>
          <w:szCs w:val="24"/>
          <w:lang w:eastAsia="pl-PL"/>
        </w:rPr>
        <w:t xml:space="preserve"> – </w:t>
      </w:r>
      <w:r w:rsidR="003904A4">
        <w:rPr>
          <w:rFonts w:ascii="Calibri" w:eastAsia="Times New Roman" w:hAnsi="Calibri" w:cs="Times New Roman"/>
          <w:b/>
          <w:sz w:val="24"/>
          <w:szCs w:val="24"/>
          <w:lang w:eastAsia="pl-PL"/>
        </w:rPr>
        <w:t>Radiotelefon</w:t>
      </w:r>
    </w:p>
    <w:p w14:paraId="5B97584B" w14:textId="77777777" w:rsidR="006B4DFE" w:rsidRPr="006B4DFE" w:rsidRDefault="006B4DFE" w:rsidP="006B4DFE">
      <w:pPr>
        <w:pBdr>
          <w:bottom w:val="single" w:sz="12" w:space="1" w:color="auto"/>
        </w:pBdr>
        <w:spacing w:after="0" w:line="240" w:lineRule="auto"/>
        <w:jc w:val="center"/>
        <w:rPr>
          <w:rFonts w:ascii="Calibri" w:eastAsia="Times New Roman" w:hAnsi="Calibri" w:cs="Times New Roman"/>
          <w:b/>
          <w:lang w:eastAsia="pl-PL"/>
        </w:rPr>
      </w:pPr>
    </w:p>
    <w:p w14:paraId="58231A79" w14:textId="4B25C9C3" w:rsidR="006B4DFE" w:rsidRPr="006B4DFE" w:rsidRDefault="006B4DFE" w:rsidP="006B4DFE">
      <w:pPr>
        <w:widowControl w:val="0"/>
        <w:numPr>
          <w:ilvl w:val="0"/>
          <w:numId w:val="1"/>
        </w:numPr>
        <w:shd w:val="clear" w:color="auto" w:fill="FFFFFF"/>
        <w:suppressAutoHyphens/>
        <w:autoSpaceDE w:val="0"/>
        <w:autoSpaceDN w:val="0"/>
        <w:adjustRightInd w:val="0"/>
        <w:spacing w:before="100" w:beforeAutospacing="1" w:after="100" w:afterAutospacing="1" w:line="240" w:lineRule="auto"/>
        <w:jc w:val="both"/>
        <w:rPr>
          <w:rFonts w:ascii="Calibri" w:eastAsia="Times New Roman" w:hAnsi="Calibri" w:cs="Arial"/>
          <w:color w:val="000000"/>
          <w:lang w:eastAsia="pl-PL"/>
        </w:rPr>
      </w:pPr>
      <w:r w:rsidRPr="006B4DFE">
        <w:rPr>
          <w:rFonts w:ascii="Calibri" w:eastAsia="Times New Roman" w:hAnsi="Calibri" w:cs="Arial"/>
          <w:color w:val="000000"/>
          <w:lang w:eastAsia="pl-PL"/>
        </w:rPr>
        <w:t xml:space="preserve">Administratorem danych  osobowych jest Minister Finansów, Funduszy i Polityki Regionalnej, będący podmiotem odpowiedzialnym za wdrażanie instrumentu „Łącząc Europę” (CEF) </w:t>
      </w:r>
      <w:r>
        <w:rPr>
          <w:rFonts w:ascii="Calibri" w:eastAsia="Times New Roman" w:hAnsi="Calibri" w:cs="Arial"/>
          <w:color w:val="000000"/>
          <w:lang w:eastAsia="pl-PL"/>
        </w:rPr>
        <w:br/>
      </w:r>
      <w:r w:rsidRPr="006B4DFE">
        <w:rPr>
          <w:rFonts w:ascii="Calibri" w:eastAsia="Times New Roman" w:hAnsi="Calibri" w:cs="Arial"/>
          <w:color w:val="000000"/>
          <w:lang w:eastAsia="pl-PL"/>
        </w:rPr>
        <w:t>w sektorze transportu. Minister ma swoją siedzibę pod adresem: ul. Wspólna 2/4, 00-926 Warszawa.</w:t>
      </w:r>
    </w:p>
    <w:p w14:paraId="55BB7D01" w14:textId="77777777" w:rsidR="006B4DFE" w:rsidRPr="006B4DFE" w:rsidRDefault="006B4DFE" w:rsidP="006B4DFE">
      <w:pPr>
        <w:widowControl w:val="0"/>
        <w:numPr>
          <w:ilvl w:val="0"/>
          <w:numId w:val="1"/>
        </w:numPr>
        <w:shd w:val="clear" w:color="auto" w:fill="FFFFFF"/>
        <w:suppressAutoHyphens/>
        <w:autoSpaceDE w:val="0"/>
        <w:autoSpaceDN w:val="0"/>
        <w:adjustRightInd w:val="0"/>
        <w:spacing w:before="100" w:beforeAutospacing="1" w:after="100" w:afterAutospacing="1" w:line="240" w:lineRule="auto"/>
        <w:jc w:val="both"/>
        <w:rPr>
          <w:rFonts w:ascii="Calibri" w:eastAsia="Times New Roman" w:hAnsi="Calibri" w:cs="Arial"/>
          <w:color w:val="000000"/>
          <w:lang w:eastAsia="pl-PL"/>
        </w:rPr>
      </w:pPr>
      <w:r w:rsidRPr="006B4DFE">
        <w:rPr>
          <w:rFonts w:ascii="Calibri" w:eastAsia="Times New Roman" w:hAnsi="Calibri" w:cs="Arial"/>
          <w:color w:val="000000"/>
          <w:lang w:eastAsia="pl-PL"/>
        </w:rPr>
        <w:t>Dane osobowe przetwarzane będą na potrzeby realizacji CEF, w szczególności w celu monitorowania prawidłowości realizacji projektów oraz potwierdzania prawidłowości ponoszenia wydatków w ramach projektów.</w:t>
      </w:r>
    </w:p>
    <w:p w14:paraId="14B78288" w14:textId="77777777" w:rsidR="006B4DFE" w:rsidRPr="006B4DFE" w:rsidRDefault="006B4DFE" w:rsidP="006B4DFE">
      <w:pPr>
        <w:widowControl w:val="0"/>
        <w:numPr>
          <w:ilvl w:val="0"/>
          <w:numId w:val="1"/>
        </w:numPr>
        <w:shd w:val="clear" w:color="auto" w:fill="FFFFFF"/>
        <w:suppressAutoHyphens/>
        <w:autoSpaceDE w:val="0"/>
        <w:autoSpaceDN w:val="0"/>
        <w:adjustRightInd w:val="0"/>
        <w:spacing w:before="100" w:beforeAutospacing="1" w:after="100" w:afterAutospacing="1" w:line="240" w:lineRule="auto"/>
        <w:jc w:val="both"/>
        <w:rPr>
          <w:rFonts w:ascii="Calibri" w:eastAsia="Times New Roman" w:hAnsi="Calibri" w:cs="Arial"/>
          <w:color w:val="000000"/>
          <w:lang w:eastAsia="pl-PL"/>
        </w:rPr>
      </w:pPr>
      <w:r w:rsidRPr="006B4DFE">
        <w:rPr>
          <w:rFonts w:ascii="Calibri" w:eastAsia="Times New Roman" w:hAnsi="Calibri" w:cs="Arial"/>
          <w:color w:val="000000"/>
          <w:lang w:eastAsia="pl-PL"/>
        </w:rPr>
        <w:t>Podanie danych jest dobrowolne, ale konieczne do realizacji ww. celu, związanego z  wdrażaniem CEF. Odmowa podania danych jest równoznaczna z brakiem możliwości podjęcia stosownych działań.</w:t>
      </w:r>
    </w:p>
    <w:p w14:paraId="5F1755D9" w14:textId="77777777" w:rsidR="006B4DFE" w:rsidRPr="006B4DFE" w:rsidRDefault="006B4DFE" w:rsidP="006B4DFE">
      <w:pPr>
        <w:widowControl w:val="0"/>
        <w:numPr>
          <w:ilvl w:val="0"/>
          <w:numId w:val="1"/>
        </w:numPr>
        <w:shd w:val="clear" w:color="auto" w:fill="FFFFFF"/>
        <w:suppressAutoHyphens/>
        <w:autoSpaceDE w:val="0"/>
        <w:autoSpaceDN w:val="0"/>
        <w:adjustRightInd w:val="0"/>
        <w:spacing w:before="100" w:beforeAutospacing="1" w:after="100" w:afterAutospacing="1" w:line="240" w:lineRule="auto"/>
        <w:jc w:val="both"/>
        <w:rPr>
          <w:rFonts w:ascii="Calibri" w:eastAsia="Times New Roman" w:hAnsi="Calibri" w:cs="Arial"/>
          <w:color w:val="000000"/>
          <w:lang w:eastAsia="pl-PL"/>
        </w:rPr>
      </w:pPr>
      <w:r w:rsidRPr="006B4DFE">
        <w:rPr>
          <w:rFonts w:ascii="Calibri" w:eastAsia="Times New Roman" w:hAnsi="Calibri" w:cs="Arial"/>
          <w:color w:val="000000"/>
          <w:lang w:eastAsia="pl-PL"/>
        </w:rPr>
        <w:t>Przetwarzanie danych osobowych odbywa się zgodnie z art. 6 ust. 1 lit. b i c rozporządzenia Parlamentu Europejskiego i Rady (UE) 2016/679 z dnia 27 kwietnia 2016 r. w sprawie ochrony osób fizycznych w związku z przetwarzaniem danych osobowych i w sprawie swobodnego przepływu takich danych oraz uchylenia dyrektywy 95/46/WE (ogólne rozporządzenie o  ochronie danych)(Dz. Urz. UE L 119 z 4.05.2016, s. 1 z późn.  zm.) (tzw. RODO) - na podstawie,</w:t>
      </w:r>
    </w:p>
    <w:p w14:paraId="1D4559C0" w14:textId="77777777" w:rsidR="006B4DFE" w:rsidRPr="006B4DFE" w:rsidRDefault="006B4DFE" w:rsidP="006B4DFE">
      <w:pPr>
        <w:widowControl w:val="0"/>
        <w:numPr>
          <w:ilvl w:val="1"/>
          <w:numId w:val="1"/>
        </w:numPr>
        <w:shd w:val="clear" w:color="auto" w:fill="FFFFFF"/>
        <w:tabs>
          <w:tab w:val="clear" w:pos="1440"/>
          <w:tab w:val="num" w:pos="1418"/>
        </w:tabs>
        <w:suppressAutoHyphens/>
        <w:autoSpaceDE w:val="0"/>
        <w:autoSpaceDN w:val="0"/>
        <w:adjustRightInd w:val="0"/>
        <w:spacing w:before="100" w:beforeAutospacing="1" w:after="100" w:afterAutospacing="1" w:line="240" w:lineRule="auto"/>
        <w:ind w:hanging="306"/>
        <w:jc w:val="both"/>
        <w:rPr>
          <w:rFonts w:ascii="Calibri" w:eastAsia="Times New Roman" w:hAnsi="Calibri" w:cs="Arial"/>
          <w:color w:val="000000"/>
          <w:lang w:eastAsia="pl-PL"/>
        </w:rPr>
      </w:pPr>
      <w:r w:rsidRPr="006B4DFE">
        <w:rPr>
          <w:rFonts w:ascii="Calibri" w:eastAsia="Times New Roman" w:hAnsi="Calibri" w:cs="Arial"/>
          <w:color w:val="000000"/>
          <w:lang w:eastAsia="pl-PL"/>
        </w:rPr>
        <w:t>następujących przepisów prawa:</w:t>
      </w:r>
    </w:p>
    <w:p w14:paraId="0890CE28" w14:textId="77777777" w:rsidR="006B4DFE" w:rsidRPr="006B4DFE" w:rsidRDefault="006B4DFE" w:rsidP="006B4DFE">
      <w:pPr>
        <w:widowControl w:val="0"/>
        <w:numPr>
          <w:ilvl w:val="2"/>
          <w:numId w:val="1"/>
        </w:numPr>
        <w:shd w:val="clear" w:color="auto" w:fill="FFFFFF"/>
        <w:tabs>
          <w:tab w:val="clear" w:pos="2160"/>
        </w:tabs>
        <w:suppressAutoHyphens/>
        <w:autoSpaceDE w:val="0"/>
        <w:autoSpaceDN w:val="0"/>
        <w:adjustRightInd w:val="0"/>
        <w:spacing w:before="100" w:beforeAutospacing="1" w:after="100" w:afterAutospacing="1" w:line="240" w:lineRule="auto"/>
        <w:ind w:left="1701"/>
        <w:jc w:val="both"/>
        <w:rPr>
          <w:rFonts w:ascii="Calibri" w:eastAsia="Times New Roman" w:hAnsi="Calibri" w:cs="Arial"/>
          <w:color w:val="000000"/>
          <w:lang w:eastAsia="pl-PL"/>
        </w:rPr>
      </w:pPr>
      <w:r w:rsidRPr="006B4DFE">
        <w:rPr>
          <w:rFonts w:ascii="Calibri" w:eastAsia="Times New Roman" w:hAnsi="Calibri" w:cs="Arial"/>
          <w:color w:val="000000"/>
          <w:lang w:eastAsia="pl-PL"/>
        </w:rPr>
        <w:t>rozporządzenia Parlamentu Europejskiego i Rady (UE) nr 1316/2013 z dnia 11 grudnia 2013 r. ustanawiającego Instrument „Łącząc Europę”, zmieniającego rozporządzenie (UE) nr 913/2010 oraz uchylającego rozporządzenia (WE) nr  680/2007 i (WE) nr 67/2010 (Dz. Urz. UE L 348 z 20.12.2013, s. 129, z późn. zm.),</w:t>
      </w:r>
    </w:p>
    <w:p w14:paraId="364178DF" w14:textId="31E9A03E" w:rsidR="006B4DFE" w:rsidRPr="006B4DFE" w:rsidRDefault="006B4DFE" w:rsidP="006B4DFE">
      <w:pPr>
        <w:widowControl w:val="0"/>
        <w:numPr>
          <w:ilvl w:val="2"/>
          <w:numId w:val="1"/>
        </w:numPr>
        <w:shd w:val="clear" w:color="auto" w:fill="FFFFFF"/>
        <w:tabs>
          <w:tab w:val="clear" w:pos="2160"/>
        </w:tabs>
        <w:suppressAutoHyphens/>
        <w:autoSpaceDE w:val="0"/>
        <w:autoSpaceDN w:val="0"/>
        <w:adjustRightInd w:val="0"/>
        <w:spacing w:before="100" w:beforeAutospacing="1" w:after="100" w:afterAutospacing="1" w:line="240" w:lineRule="auto"/>
        <w:ind w:left="1701"/>
        <w:jc w:val="both"/>
        <w:rPr>
          <w:rFonts w:ascii="Calibri" w:eastAsia="Times New Roman" w:hAnsi="Calibri" w:cs="Arial"/>
          <w:color w:val="000000"/>
          <w:lang w:eastAsia="pl-PL"/>
        </w:rPr>
      </w:pPr>
      <w:r w:rsidRPr="006B4DFE">
        <w:rPr>
          <w:rFonts w:ascii="Calibri" w:eastAsia="Times New Roman" w:hAnsi="Calibri" w:cs="Arial"/>
          <w:color w:val="000000"/>
          <w:lang w:eastAsia="pl-PL"/>
        </w:rPr>
        <w:t xml:space="preserve">rozporządzenia Parlamentu Europejskiego i Rady (UE, Euratom) 2018/1046  z  dnia 18 lipca 2018 r. w sprawie zasad finansowych mających zastosowanie do budżetu ogólnego Unii zmieniającego rozporządzenia (UE) nr 1296/2013, (UE) nr 1301/2013, (UE) </w:t>
      </w:r>
      <w:r>
        <w:rPr>
          <w:rFonts w:ascii="Calibri" w:eastAsia="Times New Roman" w:hAnsi="Calibri" w:cs="Arial"/>
          <w:color w:val="000000"/>
          <w:lang w:eastAsia="pl-PL"/>
        </w:rPr>
        <w:br/>
      </w:r>
      <w:r w:rsidRPr="006B4DFE">
        <w:rPr>
          <w:rFonts w:ascii="Calibri" w:eastAsia="Times New Roman" w:hAnsi="Calibri" w:cs="Arial"/>
          <w:color w:val="000000"/>
          <w:lang w:eastAsia="pl-PL"/>
        </w:rPr>
        <w:t xml:space="preserve">nr 1303/2013,  (UE) nr 1304/2013, (UE) nr 1309/2013, (UE) nr 1316/2013, (UE) </w:t>
      </w:r>
      <w:r>
        <w:rPr>
          <w:rFonts w:ascii="Calibri" w:eastAsia="Times New Roman" w:hAnsi="Calibri" w:cs="Arial"/>
          <w:color w:val="000000"/>
          <w:lang w:eastAsia="pl-PL"/>
        </w:rPr>
        <w:br/>
      </w:r>
      <w:r w:rsidRPr="006B4DFE">
        <w:rPr>
          <w:rFonts w:ascii="Calibri" w:eastAsia="Times New Roman" w:hAnsi="Calibri" w:cs="Arial"/>
          <w:color w:val="000000"/>
          <w:lang w:eastAsia="pl-PL"/>
        </w:rPr>
        <w:t xml:space="preserve">nr 223/2014 i (UE) nr 283/2014 oraz decyzję nr  541/2014/UE, a także uchylającego rozporządzenie (UE, Euratom) nr  966/2012 (Dz. Urz. UE L 2018 Nr 193, s.1), </w:t>
      </w:r>
    </w:p>
    <w:p w14:paraId="08C6E087" w14:textId="77777777" w:rsidR="006B4DFE" w:rsidRPr="006B4DFE" w:rsidRDefault="006B4DFE" w:rsidP="006B4DFE">
      <w:pPr>
        <w:widowControl w:val="0"/>
        <w:numPr>
          <w:ilvl w:val="2"/>
          <w:numId w:val="1"/>
        </w:numPr>
        <w:shd w:val="clear" w:color="auto" w:fill="FFFFFF"/>
        <w:tabs>
          <w:tab w:val="clear" w:pos="2160"/>
        </w:tabs>
        <w:suppressAutoHyphens/>
        <w:autoSpaceDE w:val="0"/>
        <w:autoSpaceDN w:val="0"/>
        <w:adjustRightInd w:val="0"/>
        <w:spacing w:before="100" w:beforeAutospacing="1" w:after="100" w:afterAutospacing="1" w:line="240" w:lineRule="auto"/>
        <w:ind w:left="1701"/>
        <w:jc w:val="both"/>
        <w:rPr>
          <w:rFonts w:ascii="Calibri" w:eastAsia="Times New Roman" w:hAnsi="Calibri" w:cs="Arial"/>
          <w:color w:val="000000"/>
          <w:lang w:eastAsia="pl-PL"/>
        </w:rPr>
      </w:pPr>
      <w:r w:rsidRPr="006B4DFE">
        <w:rPr>
          <w:rFonts w:ascii="Calibri" w:eastAsia="Times New Roman" w:hAnsi="Calibri" w:cs="Arial"/>
          <w:color w:val="000000"/>
          <w:lang w:eastAsia="pl-PL"/>
        </w:rPr>
        <w:t>rozporządzenie Rady</w:t>
      </w:r>
      <w:r w:rsidRPr="006B4DFE">
        <w:rPr>
          <w:rFonts w:ascii="A" w:eastAsia="Times New Roman" w:hAnsi="A" w:cs="Times New Roman"/>
          <w:color w:val="000000"/>
          <w:sz w:val="20"/>
          <w:szCs w:val="20"/>
          <w:lang w:eastAsia="pl-PL"/>
        </w:rPr>
        <w:t xml:space="preserve"> </w:t>
      </w:r>
      <w:r w:rsidRPr="006B4DFE">
        <w:rPr>
          <w:rFonts w:ascii="Calibri" w:eastAsia="Times New Roman" w:hAnsi="Calibri" w:cs="Arial"/>
          <w:color w:val="000000"/>
          <w:lang w:eastAsia="pl-PL"/>
        </w:rPr>
        <w:t>(WE, Euratom) nr 2988/95 z dnia 18 grudnia 1995 r. w  sprawie ochrony interesów finansowych Wspólnot Europejskich (Dz. Urz. WE L 312 z 23.12.1995, s. 1),</w:t>
      </w:r>
    </w:p>
    <w:p w14:paraId="50A04288" w14:textId="6AB54329" w:rsidR="006B4DFE" w:rsidRPr="006B4DFE" w:rsidRDefault="006B4DFE" w:rsidP="006B4DFE">
      <w:pPr>
        <w:widowControl w:val="0"/>
        <w:numPr>
          <w:ilvl w:val="2"/>
          <w:numId w:val="1"/>
        </w:numPr>
        <w:shd w:val="clear" w:color="auto" w:fill="FFFFFF"/>
        <w:tabs>
          <w:tab w:val="clear" w:pos="2160"/>
        </w:tabs>
        <w:suppressAutoHyphens/>
        <w:autoSpaceDE w:val="0"/>
        <w:autoSpaceDN w:val="0"/>
        <w:adjustRightInd w:val="0"/>
        <w:spacing w:before="100" w:beforeAutospacing="1" w:after="100" w:afterAutospacing="1" w:line="240" w:lineRule="auto"/>
        <w:ind w:left="1701"/>
        <w:jc w:val="both"/>
        <w:rPr>
          <w:rFonts w:ascii="Calibri" w:eastAsia="Times New Roman" w:hAnsi="Calibri" w:cs="Arial"/>
          <w:color w:val="000000"/>
          <w:lang w:eastAsia="pl-PL"/>
        </w:rPr>
      </w:pPr>
      <w:r w:rsidRPr="006B4DFE">
        <w:rPr>
          <w:rFonts w:ascii="Calibri" w:eastAsia="Times New Roman" w:hAnsi="Calibri" w:cs="Arial"/>
          <w:color w:val="000000"/>
          <w:lang w:eastAsia="pl-PL"/>
        </w:rPr>
        <w:t xml:space="preserve">ustawy z dnia 14 czerwca 1960 r. - Kodeks postępowania administracyjnego (Dz.U. </w:t>
      </w:r>
      <w:r>
        <w:rPr>
          <w:rFonts w:ascii="Calibri" w:eastAsia="Times New Roman" w:hAnsi="Calibri" w:cs="Arial"/>
          <w:color w:val="000000"/>
          <w:lang w:eastAsia="pl-PL"/>
        </w:rPr>
        <w:br/>
      </w:r>
      <w:r w:rsidRPr="006B4DFE">
        <w:rPr>
          <w:rFonts w:ascii="Calibri" w:eastAsia="Times New Roman" w:hAnsi="Calibri" w:cs="Arial"/>
          <w:color w:val="000000"/>
          <w:lang w:eastAsia="pl-PL"/>
        </w:rPr>
        <w:t>z 2018 r. poz. 2096, z późn. zm.),</w:t>
      </w:r>
    </w:p>
    <w:p w14:paraId="2F252AAF" w14:textId="46DE7787" w:rsidR="006B4DFE" w:rsidRPr="006B4DFE" w:rsidRDefault="006B4DFE" w:rsidP="006B4DFE">
      <w:pPr>
        <w:widowControl w:val="0"/>
        <w:numPr>
          <w:ilvl w:val="2"/>
          <w:numId w:val="1"/>
        </w:numPr>
        <w:shd w:val="clear" w:color="auto" w:fill="FFFFFF"/>
        <w:tabs>
          <w:tab w:val="clear" w:pos="2160"/>
        </w:tabs>
        <w:suppressAutoHyphens/>
        <w:autoSpaceDE w:val="0"/>
        <w:autoSpaceDN w:val="0"/>
        <w:adjustRightInd w:val="0"/>
        <w:spacing w:before="100" w:beforeAutospacing="1" w:after="100" w:afterAutospacing="1" w:line="240" w:lineRule="auto"/>
        <w:ind w:left="1701"/>
        <w:jc w:val="both"/>
        <w:rPr>
          <w:rFonts w:ascii="Calibri" w:eastAsia="Times New Roman" w:hAnsi="Calibri" w:cs="Arial"/>
          <w:color w:val="000000"/>
          <w:lang w:eastAsia="pl-PL"/>
        </w:rPr>
      </w:pPr>
      <w:r w:rsidRPr="006B4DFE">
        <w:rPr>
          <w:rFonts w:ascii="Calibri" w:eastAsia="Times New Roman" w:hAnsi="Calibri" w:cs="Arial"/>
          <w:color w:val="000000"/>
          <w:lang w:eastAsia="pl-PL"/>
        </w:rPr>
        <w:t xml:space="preserve">ustawy z dnia 27 sierpnia 2009 r. o finansach publicznych (Dz.U. z 2017 r. poz. 2077, </w:t>
      </w:r>
      <w:r>
        <w:rPr>
          <w:rFonts w:ascii="Calibri" w:eastAsia="Times New Roman" w:hAnsi="Calibri" w:cs="Arial"/>
          <w:color w:val="000000"/>
          <w:lang w:eastAsia="pl-PL"/>
        </w:rPr>
        <w:br/>
      </w:r>
      <w:r w:rsidRPr="006B4DFE">
        <w:rPr>
          <w:rFonts w:ascii="Calibri" w:eastAsia="Times New Roman" w:hAnsi="Calibri" w:cs="Arial"/>
          <w:color w:val="000000"/>
          <w:lang w:eastAsia="pl-PL"/>
        </w:rPr>
        <w:t>z późn. zm.),</w:t>
      </w:r>
    </w:p>
    <w:p w14:paraId="3FE335CB" w14:textId="77777777" w:rsidR="006B4DFE" w:rsidRPr="006B4DFE" w:rsidRDefault="006B4DFE" w:rsidP="006B4DFE">
      <w:pPr>
        <w:widowControl w:val="0"/>
        <w:numPr>
          <w:ilvl w:val="2"/>
          <w:numId w:val="1"/>
        </w:numPr>
        <w:shd w:val="clear" w:color="auto" w:fill="FFFFFF"/>
        <w:tabs>
          <w:tab w:val="clear" w:pos="2160"/>
        </w:tabs>
        <w:suppressAutoHyphens/>
        <w:autoSpaceDE w:val="0"/>
        <w:autoSpaceDN w:val="0"/>
        <w:adjustRightInd w:val="0"/>
        <w:spacing w:before="100" w:beforeAutospacing="1" w:after="100" w:afterAutospacing="1" w:line="240" w:lineRule="auto"/>
        <w:ind w:left="1701"/>
        <w:jc w:val="both"/>
        <w:rPr>
          <w:rFonts w:ascii="Calibri" w:eastAsia="Times New Roman" w:hAnsi="Calibri" w:cs="Arial"/>
          <w:color w:val="000000"/>
          <w:lang w:eastAsia="pl-PL"/>
        </w:rPr>
      </w:pPr>
      <w:r w:rsidRPr="006B4DFE">
        <w:rPr>
          <w:rFonts w:ascii="Calibri" w:eastAsia="Times New Roman" w:hAnsi="Calibri" w:cs="Arial"/>
          <w:color w:val="000000"/>
          <w:lang w:eastAsia="pl-PL"/>
        </w:rPr>
        <w:t>rozporządzenia Rady Ministrów z dnia 23 grudnia 2016 r. w sprawie wykazu środków publicznych niezaliczanych do środków, o których mowa w art. 5 ust. 3 pkt. 5 c i 6 ustawy o finansach publicznych (Dz.U. z 2018 r. poz. 2165),</w:t>
      </w:r>
    </w:p>
    <w:p w14:paraId="0A938BC2" w14:textId="77777777" w:rsidR="006B4DFE" w:rsidRPr="006B4DFE" w:rsidRDefault="006B4DFE" w:rsidP="006B4DFE">
      <w:pPr>
        <w:widowControl w:val="0"/>
        <w:numPr>
          <w:ilvl w:val="1"/>
          <w:numId w:val="1"/>
        </w:numPr>
        <w:shd w:val="clear" w:color="auto" w:fill="FFFFFF"/>
        <w:suppressAutoHyphens/>
        <w:autoSpaceDE w:val="0"/>
        <w:autoSpaceDN w:val="0"/>
        <w:adjustRightInd w:val="0"/>
        <w:spacing w:before="100" w:beforeAutospacing="1" w:after="100" w:afterAutospacing="1" w:line="240" w:lineRule="auto"/>
        <w:ind w:hanging="306"/>
        <w:jc w:val="both"/>
        <w:rPr>
          <w:rFonts w:ascii="Calibri" w:eastAsia="Times New Roman" w:hAnsi="Calibri" w:cs="Arial"/>
          <w:color w:val="000000"/>
          <w:lang w:eastAsia="pl-PL"/>
        </w:rPr>
      </w:pPr>
      <w:r w:rsidRPr="006B4DFE">
        <w:rPr>
          <w:rFonts w:ascii="Calibri" w:eastAsia="Times New Roman" w:hAnsi="Calibri" w:cs="Arial"/>
          <w:color w:val="000000"/>
          <w:lang w:eastAsia="pl-PL"/>
        </w:rPr>
        <w:t>umowy, gdy osoba, której dane dotyczą jest jej stroną, a przetwarzanie danych osobowych jest niezbędne do jej zawarcia oraz wykonania.</w:t>
      </w:r>
    </w:p>
    <w:p w14:paraId="5965513D" w14:textId="77777777" w:rsidR="006B4DFE" w:rsidRPr="006B4DFE" w:rsidRDefault="006B4DFE" w:rsidP="006B4DFE">
      <w:pPr>
        <w:widowControl w:val="0"/>
        <w:numPr>
          <w:ilvl w:val="0"/>
          <w:numId w:val="1"/>
        </w:numPr>
        <w:shd w:val="clear" w:color="auto" w:fill="FFFFFF"/>
        <w:suppressAutoHyphens/>
        <w:autoSpaceDE w:val="0"/>
        <w:autoSpaceDN w:val="0"/>
        <w:adjustRightInd w:val="0"/>
        <w:spacing w:before="100" w:beforeAutospacing="1" w:after="100" w:afterAutospacing="1" w:line="240" w:lineRule="auto"/>
        <w:jc w:val="both"/>
        <w:rPr>
          <w:rFonts w:ascii="Calibri" w:eastAsia="Times New Roman" w:hAnsi="Calibri" w:cs="Arial"/>
          <w:color w:val="000000"/>
          <w:lang w:eastAsia="pl-PL"/>
        </w:rPr>
      </w:pPr>
      <w:r w:rsidRPr="006B4DFE">
        <w:rPr>
          <w:rFonts w:ascii="Calibri" w:eastAsia="Times New Roman" w:hAnsi="Calibri" w:cs="Arial"/>
          <w:color w:val="000000"/>
          <w:lang w:eastAsia="pl-PL"/>
        </w:rPr>
        <w:t>Odbiorcami danych osobowych są:</w:t>
      </w:r>
    </w:p>
    <w:p w14:paraId="1EEA811B" w14:textId="77777777" w:rsidR="006B4DFE" w:rsidRPr="006B4DFE" w:rsidRDefault="006B4DFE" w:rsidP="006B4DFE">
      <w:pPr>
        <w:widowControl w:val="0"/>
        <w:numPr>
          <w:ilvl w:val="1"/>
          <w:numId w:val="1"/>
        </w:numPr>
        <w:shd w:val="clear" w:color="auto" w:fill="FFFFFF"/>
        <w:suppressAutoHyphens/>
        <w:autoSpaceDE w:val="0"/>
        <w:autoSpaceDN w:val="0"/>
        <w:adjustRightInd w:val="0"/>
        <w:spacing w:before="100" w:beforeAutospacing="1" w:after="100" w:afterAutospacing="1" w:line="240" w:lineRule="auto"/>
        <w:jc w:val="both"/>
        <w:rPr>
          <w:rFonts w:ascii="Calibri" w:eastAsia="Times New Roman" w:hAnsi="Calibri" w:cs="Arial"/>
          <w:color w:val="000000"/>
          <w:lang w:eastAsia="pl-PL"/>
        </w:rPr>
      </w:pPr>
      <w:r w:rsidRPr="006B4DFE">
        <w:rPr>
          <w:rFonts w:ascii="Calibri" w:eastAsia="Times New Roman" w:hAnsi="Calibri" w:cs="Arial"/>
          <w:color w:val="000000"/>
          <w:lang w:eastAsia="pl-PL"/>
        </w:rPr>
        <w:t>Centrum Unijnych Projektów Transportowych,</w:t>
      </w:r>
    </w:p>
    <w:p w14:paraId="2567AA86" w14:textId="77777777" w:rsidR="006B4DFE" w:rsidRPr="006B4DFE" w:rsidRDefault="006B4DFE" w:rsidP="006B4DFE">
      <w:pPr>
        <w:widowControl w:val="0"/>
        <w:numPr>
          <w:ilvl w:val="1"/>
          <w:numId w:val="1"/>
        </w:numPr>
        <w:shd w:val="clear" w:color="auto" w:fill="FFFFFF"/>
        <w:suppressAutoHyphens/>
        <w:autoSpaceDE w:val="0"/>
        <w:autoSpaceDN w:val="0"/>
        <w:adjustRightInd w:val="0"/>
        <w:spacing w:before="100" w:beforeAutospacing="1" w:after="100" w:afterAutospacing="1" w:line="240" w:lineRule="auto"/>
        <w:jc w:val="both"/>
        <w:rPr>
          <w:rFonts w:ascii="Calibri" w:eastAsia="Times New Roman" w:hAnsi="Calibri" w:cs="Arial"/>
          <w:color w:val="000000"/>
          <w:lang w:eastAsia="pl-PL"/>
        </w:rPr>
      </w:pPr>
      <w:r w:rsidRPr="006B4DFE">
        <w:rPr>
          <w:rFonts w:ascii="Calibri" w:eastAsia="Times New Roman" w:hAnsi="Calibri" w:cs="Arial"/>
          <w:color w:val="000000"/>
          <w:lang w:eastAsia="pl-PL"/>
        </w:rPr>
        <w:t>instytucje, organy i agencje Unii Europejskiej (UE), a także inne podmioty, którym UE powierzyła wykonywanie zadań związanych z wdrażaniem CEF,</w:t>
      </w:r>
    </w:p>
    <w:p w14:paraId="1505959F" w14:textId="77777777" w:rsidR="006B4DFE" w:rsidRPr="006B4DFE" w:rsidRDefault="006B4DFE" w:rsidP="006B4DFE">
      <w:pPr>
        <w:widowControl w:val="0"/>
        <w:numPr>
          <w:ilvl w:val="1"/>
          <w:numId w:val="1"/>
        </w:numPr>
        <w:shd w:val="clear" w:color="auto" w:fill="FFFFFF"/>
        <w:suppressAutoHyphens/>
        <w:autoSpaceDE w:val="0"/>
        <w:autoSpaceDN w:val="0"/>
        <w:adjustRightInd w:val="0"/>
        <w:spacing w:before="100" w:beforeAutospacing="1" w:after="100" w:afterAutospacing="1" w:line="240" w:lineRule="auto"/>
        <w:jc w:val="both"/>
        <w:rPr>
          <w:rFonts w:ascii="Calibri" w:eastAsia="Times New Roman" w:hAnsi="Calibri" w:cs="Arial"/>
          <w:color w:val="000000"/>
          <w:lang w:eastAsia="pl-PL"/>
        </w:rPr>
      </w:pPr>
      <w:r w:rsidRPr="006B4DFE">
        <w:rPr>
          <w:rFonts w:ascii="Calibri" w:eastAsia="Times New Roman" w:hAnsi="Calibri" w:cs="Arial"/>
          <w:color w:val="000000"/>
          <w:lang w:eastAsia="pl-PL"/>
        </w:rPr>
        <w:lastRenderedPageBreak/>
        <w:t>podmioty świadczące na rzecz Ministra usługi związane z obsługą i rozwojem systemów teleinformatycznych oraz zapewnieniem łączności, w szczególności dostawcy rozwiązań IT i operatorzy telekomunikacyjni.</w:t>
      </w:r>
    </w:p>
    <w:p w14:paraId="1249BE6B" w14:textId="39180069" w:rsidR="006B4DFE" w:rsidRPr="006B4DFE" w:rsidRDefault="006B4DFE" w:rsidP="006B4DFE">
      <w:pPr>
        <w:widowControl w:val="0"/>
        <w:numPr>
          <w:ilvl w:val="0"/>
          <w:numId w:val="1"/>
        </w:numPr>
        <w:shd w:val="clear" w:color="auto" w:fill="FFFFFF"/>
        <w:suppressAutoHyphens/>
        <w:autoSpaceDE w:val="0"/>
        <w:autoSpaceDN w:val="0"/>
        <w:adjustRightInd w:val="0"/>
        <w:spacing w:before="100" w:beforeAutospacing="1" w:after="100" w:afterAutospacing="1" w:line="240" w:lineRule="auto"/>
        <w:jc w:val="both"/>
        <w:rPr>
          <w:rFonts w:ascii="Calibri" w:eastAsia="Times New Roman" w:hAnsi="Calibri" w:cs="Arial"/>
          <w:color w:val="000000"/>
          <w:lang w:eastAsia="pl-PL"/>
        </w:rPr>
      </w:pPr>
      <w:r w:rsidRPr="006B4DFE">
        <w:rPr>
          <w:rFonts w:ascii="Calibri" w:eastAsia="Times New Roman" w:hAnsi="Calibri" w:cs="Arial"/>
          <w:color w:val="000000"/>
          <w:lang w:eastAsia="pl-PL"/>
        </w:rPr>
        <w:t xml:space="preserve">Dane osobowe będą przechowywane przez okres 5 lat od dnia otrzymania przez beneficjenta płatności końcowej lub płatności salda. W przypadku udzielenia pomocy publicznej dla projektu CEF dane osobowe dotyczące tego projektu przechowywane są przez okres 10 lat od dnia udzielenia pomocy publicznej. Okres przechowywania danych osobowych może ulec przedłużeniu </w:t>
      </w:r>
      <w:r>
        <w:rPr>
          <w:rFonts w:ascii="Calibri" w:eastAsia="Times New Roman" w:hAnsi="Calibri" w:cs="Arial"/>
          <w:color w:val="000000"/>
          <w:lang w:eastAsia="pl-PL"/>
        </w:rPr>
        <w:br/>
      </w:r>
      <w:r w:rsidRPr="006B4DFE">
        <w:rPr>
          <w:rFonts w:ascii="Calibri" w:eastAsia="Times New Roman" w:hAnsi="Calibri" w:cs="Arial"/>
          <w:color w:val="000000"/>
          <w:lang w:eastAsia="pl-PL"/>
        </w:rPr>
        <w:t xml:space="preserve">w przypadku, gdy w stosunku do projektu CEF prowadzone są audyty, odwołania, spory </w:t>
      </w:r>
      <w:r>
        <w:rPr>
          <w:rFonts w:ascii="Calibri" w:eastAsia="Times New Roman" w:hAnsi="Calibri" w:cs="Arial"/>
          <w:color w:val="000000"/>
          <w:lang w:eastAsia="pl-PL"/>
        </w:rPr>
        <w:br/>
      </w:r>
      <w:r w:rsidRPr="006B4DFE">
        <w:rPr>
          <w:rFonts w:ascii="Calibri" w:eastAsia="Times New Roman" w:hAnsi="Calibri" w:cs="Arial"/>
          <w:color w:val="000000"/>
          <w:lang w:eastAsia="pl-PL"/>
        </w:rPr>
        <w:t>lub dochodzenie roszczeń - do czasu ich zakończenia.</w:t>
      </w:r>
    </w:p>
    <w:p w14:paraId="321AD78D" w14:textId="77777777" w:rsidR="006B4DFE" w:rsidRPr="006B4DFE" w:rsidRDefault="006B4DFE" w:rsidP="006B4DFE">
      <w:pPr>
        <w:widowControl w:val="0"/>
        <w:numPr>
          <w:ilvl w:val="0"/>
          <w:numId w:val="1"/>
        </w:numPr>
        <w:shd w:val="clear" w:color="auto" w:fill="FFFFFF"/>
        <w:suppressAutoHyphens/>
        <w:autoSpaceDE w:val="0"/>
        <w:autoSpaceDN w:val="0"/>
        <w:adjustRightInd w:val="0"/>
        <w:spacing w:before="100" w:beforeAutospacing="1" w:after="100" w:afterAutospacing="1" w:line="240" w:lineRule="auto"/>
        <w:jc w:val="both"/>
        <w:rPr>
          <w:rFonts w:ascii="Calibri" w:eastAsia="Times New Roman" w:hAnsi="Calibri" w:cs="Arial"/>
          <w:color w:val="000000"/>
          <w:lang w:eastAsia="pl-PL"/>
        </w:rPr>
      </w:pPr>
      <w:r w:rsidRPr="006B4DFE">
        <w:rPr>
          <w:rFonts w:ascii="Calibri" w:eastAsia="Times New Roman" w:hAnsi="Calibri" w:cs="Arial"/>
          <w:color w:val="000000"/>
          <w:lang w:eastAsia="pl-PL"/>
        </w:rPr>
        <w:t>Osobie, której dane dotyczą, przysługuje:</w:t>
      </w:r>
    </w:p>
    <w:p w14:paraId="4ACC1D68" w14:textId="77777777" w:rsidR="006B4DFE" w:rsidRPr="006B4DFE" w:rsidRDefault="006B4DFE" w:rsidP="006B4DFE">
      <w:pPr>
        <w:widowControl w:val="0"/>
        <w:numPr>
          <w:ilvl w:val="1"/>
          <w:numId w:val="1"/>
        </w:numPr>
        <w:shd w:val="clear" w:color="auto" w:fill="FFFFFF"/>
        <w:suppressAutoHyphens/>
        <w:autoSpaceDE w:val="0"/>
        <w:autoSpaceDN w:val="0"/>
        <w:adjustRightInd w:val="0"/>
        <w:spacing w:before="100" w:beforeAutospacing="1" w:after="100" w:afterAutospacing="1" w:line="240" w:lineRule="auto"/>
        <w:jc w:val="both"/>
        <w:rPr>
          <w:rFonts w:ascii="Calibri" w:eastAsia="Times New Roman" w:hAnsi="Calibri" w:cs="Arial"/>
          <w:color w:val="000000"/>
          <w:lang w:eastAsia="pl-PL"/>
        </w:rPr>
      </w:pPr>
      <w:r w:rsidRPr="006B4DFE">
        <w:rPr>
          <w:rFonts w:ascii="Calibri" w:eastAsia="Times New Roman" w:hAnsi="Calibri" w:cs="Arial"/>
          <w:color w:val="000000"/>
          <w:lang w:eastAsia="pl-PL"/>
        </w:rPr>
        <w:t>prawo dostępu do treści swoich danych osobowych,</w:t>
      </w:r>
    </w:p>
    <w:p w14:paraId="1390E8D0" w14:textId="77777777" w:rsidR="006B4DFE" w:rsidRPr="006B4DFE" w:rsidRDefault="006B4DFE" w:rsidP="006B4DFE">
      <w:pPr>
        <w:widowControl w:val="0"/>
        <w:numPr>
          <w:ilvl w:val="1"/>
          <w:numId w:val="1"/>
        </w:numPr>
        <w:shd w:val="clear" w:color="auto" w:fill="FFFFFF"/>
        <w:suppressAutoHyphens/>
        <w:autoSpaceDE w:val="0"/>
        <w:autoSpaceDN w:val="0"/>
        <w:adjustRightInd w:val="0"/>
        <w:spacing w:before="100" w:beforeAutospacing="1" w:after="100" w:afterAutospacing="1" w:line="240" w:lineRule="auto"/>
        <w:jc w:val="both"/>
        <w:rPr>
          <w:rFonts w:ascii="Calibri" w:eastAsia="Times New Roman" w:hAnsi="Calibri" w:cs="Arial"/>
          <w:color w:val="000000"/>
          <w:lang w:eastAsia="pl-PL"/>
        </w:rPr>
      </w:pPr>
      <w:r w:rsidRPr="006B4DFE">
        <w:rPr>
          <w:rFonts w:ascii="Calibri" w:eastAsia="Times New Roman" w:hAnsi="Calibri" w:cs="Arial"/>
          <w:color w:val="000000"/>
          <w:lang w:eastAsia="pl-PL"/>
        </w:rPr>
        <w:t xml:space="preserve">prawo ich sprostowania, </w:t>
      </w:r>
    </w:p>
    <w:p w14:paraId="394038B9" w14:textId="68D495AF" w:rsidR="006B4DFE" w:rsidRPr="006B4DFE" w:rsidRDefault="006B4DFE" w:rsidP="006B4DFE">
      <w:pPr>
        <w:widowControl w:val="0"/>
        <w:numPr>
          <w:ilvl w:val="1"/>
          <w:numId w:val="1"/>
        </w:numPr>
        <w:shd w:val="clear" w:color="auto" w:fill="FFFFFF"/>
        <w:suppressAutoHyphens/>
        <w:autoSpaceDE w:val="0"/>
        <w:autoSpaceDN w:val="0"/>
        <w:adjustRightInd w:val="0"/>
        <w:spacing w:before="100" w:beforeAutospacing="1" w:after="100" w:afterAutospacing="1" w:line="240" w:lineRule="auto"/>
        <w:jc w:val="both"/>
        <w:rPr>
          <w:rFonts w:ascii="Calibri" w:eastAsia="Times New Roman" w:hAnsi="Calibri" w:cs="Arial"/>
          <w:color w:val="000000"/>
          <w:lang w:eastAsia="pl-PL"/>
        </w:rPr>
      </w:pPr>
      <w:r w:rsidRPr="006B4DFE">
        <w:rPr>
          <w:rFonts w:ascii="Calibri" w:eastAsia="Times New Roman" w:hAnsi="Calibri" w:cs="Arial"/>
          <w:color w:val="000000"/>
          <w:lang w:eastAsia="pl-PL"/>
        </w:rPr>
        <w:t xml:space="preserve">prawo żądania od administratora usunięcia swoich danych osobowych – w  przypadkach </w:t>
      </w:r>
      <w:r>
        <w:rPr>
          <w:rFonts w:ascii="Calibri" w:eastAsia="Times New Roman" w:hAnsi="Calibri" w:cs="Arial"/>
          <w:color w:val="000000"/>
          <w:lang w:eastAsia="pl-PL"/>
        </w:rPr>
        <w:br/>
      </w:r>
      <w:r w:rsidRPr="006B4DFE">
        <w:rPr>
          <w:rFonts w:ascii="Calibri" w:eastAsia="Times New Roman" w:hAnsi="Calibri" w:cs="Arial"/>
          <w:color w:val="000000"/>
          <w:lang w:eastAsia="pl-PL"/>
        </w:rPr>
        <w:t>o których mowa w art. 17 RODO,</w:t>
      </w:r>
    </w:p>
    <w:p w14:paraId="6FCCDDC8" w14:textId="77777777" w:rsidR="006B4DFE" w:rsidRPr="006B4DFE" w:rsidRDefault="006B4DFE" w:rsidP="006B4DFE">
      <w:pPr>
        <w:widowControl w:val="0"/>
        <w:numPr>
          <w:ilvl w:val="1"/>
          <w:numId w:val="1"/>
        </w:numPr>
        <w:shd w:val="clear" w:color="auto" w:fill="FFFFFF"/>
        <w:suppressAutoHyphens/>
        <w:autoSpaceDE w:val="0"/>
        <w:autoSpaceDN w:val="0"/>
        <w:adjustRightInd w:val="0"/>
        <w:spacing w:before="100" w:beforeAutospacing="1" w:after="100" w:afterAutospacing="1" w:line="240" w:lineRule="auto"/>
        <w:jc w:val="both"/>
        <w:rPr>
          <w:rFonts w:ascii="Calibri" w:eastAsia="Times New Roman" w:hAnsi="Calibri" w:cs="Arial"/>
          <w:color w:val="000000"/>
          <w:lang w:eastAsia="pl-PL"/>
        </w:rPr>
      </w:pPr>
      <w:r w:rsidRPr="006B4DFE">
        <w:rPr>
          <w:rFonts w:ascii="Calibri" w:eastAsia="Times New Roman" w:hAnsi="Calibri" w:cs="Arial"/>
          <w:color w:val="000000"/>
          <w:lang w:eastAsia="pl-PL"/>
        </w:rPr>
        <w:t>prawo żądania od administratora ograniczenia przetwarzania, z zastrzeżeniem przypadków, o których mowa w art. 18 ust. 2 RODO,</w:t>
      </w:r>
    </w:p>
    <w:p w14:paraId="216533ED" w14:textId="77777777" w:rsidR="006B4DFE" w:rsidRPr="006B4DFE" w:rsidRDefault="006B4DFE" w:rsidP="006B4DFE">
      <w:pPr>
        <w:widowControl w:val="0"/>
        <w:numPr>
          <w:ilvl w:val="1"/>
          <w:numId w:val="1"/>
        </w:numPr>
        <w:shd w:val="clear" w:color="auto" w:fill="FFFFFF"/>
        <w:suppressAutoHyphens/>
        <w:autoSpaceDE w:val="0"/>
        <w:autoSpaceDN w:val="0"/>
        <w:adjustRightInd w:val="0"/>
        <w:spacing w:before="100" w:beforeAutospacing="1" w:after="100" w:afterAutospacing="1" w:line="240" w:lineRule="auto"/>
        <w:jc w:val="both"/>
        <w:rPr>
          <w:rFonts w:ascii="Calibri" w:eastAsia="Times New Roman" w:hAnsi="Calibri" w:cs="Arial"/>
          <w:color w:val="000000"/>
          <w:lang w:eastAsia="pl-PL"/>
        </w:rPr>
      </w:pPr>
      <w:r w:rsidRPr="006B4DFE">
        <w:rPr>
          <w:rFonts w:ascii="Calibri" w:eastAsia="Times New Roman" w:hAnsi="Calibri" w:cs="Arial"/>
          <w:color w:val="000000"/>
          <w:lang w:eastAsia="pl-PL"/>
        </w:rPr>
        <w:t>prawo do ich przenoszenia.</w:t>
      </w:r>
    </w:p>
    <w:p w14:paraId="4285BEB9" w14:textId="77777777" w:rsidR="006B4DFE" w:rsidRPr="006B4DFE" w:rsidRDefault="006B4DFE" w:rsidP="006B4DFE">
      <w:pPr>
        <w:widowControl w:val="0"/>
        <w:numPr>
          <w:ilvl w:val="0"/>
          <w:numId w:val="1"/>
        </w:numPr>
        <w:shd w:val="clear" w:color="auto" w:fill="FFFFFF"/>
        <w:suppressAutoHyphens/>
        <w:autoSpaceDE w:val="0"/>
        <w:autoSpaceDN w:val="0"/>
        <w:adjustRightInd w:val="0"/>
        <w:spacing w:before="100" w:beforeAutospacing="1" w:after="100" w:afterAutospacing="1" w:line="240" w:lineRule="auto"/>
        <w:jc w:val="both"/>
        <w:rPr>
          <w:rFonts w:ascii="Calibri" w:eastAsia="Times New Roman" w:hAnsi="Calibri" w:cs="Arial"/>
          <w:color w:val="000000"/>
          <w:lang w:eastAsia="pl-PL"/>
        </w:rPr>
      </w:pPr>
      <w:r w:rsidRPr="006B4DFE">
        <w:rPr>
          <w:rFonts w:ascii="Calibri" w:eastAsia="Times New Roman" w:hAnsi="Calibri" w:cs="Arial"/>
          <w:color w:val="000000"/>
          <w:lang w:eastAsia="pl-PL"/>
        </w:rPr>
        <w:t>Dane osobowe nie będą podlegały zautomatyzowanemu podejmowaniu decyzji, w tym profilowaniu.</w:t>
      </w:r>
    </w:p>
    <w:p w14:paraId="1FF29ED1" w14:textId="77777777" w:rsidR="006B4DFE" w:rsidRPr="006B4DFE" w:rsidRDefault="006B4DFE" w:rsidP="006B4DFE">
      <w:pPr>
        <w:widowControl w:val="0"/>
        <w:numPr>
          <w:ilvl w:val="0"/>
          <w:numId w:val="1"/>
        </w:numPr>
        <w:shd w:val="clear" w:color="auto" w:fill="FFFFFF"/>
        <w:suppressAutoHyphens/>
        <w:autoSpaceDE w:val="0"/>
        <w:autoSpaceDN w:val="0"/>
        <w:adjustRightInd w:val="0"/>
        <w:spacing w:before="100" w:beforeAutospacing="1" w:after="100" w:afterAutospacing="1" w:line="240" w:lineRule="auto"/>
        <w:jc w:val="both"/>
        <w:rPr>
          <w:rFonts w:ascii="Calibri" w:eastAsia="Times New Roman" w:hAnsi="Calibri" w:cs="Arial"/>
          <w:color w:val="000000"/>
          <w:lang w:eastAsia="pl-PL"/>
        </w:rPr>
      </w:pPr>
      <w:r w:rsidRPr="006B4DFE">
        <w:rPr>
          <w:rFonts w:ascii="Calibri" w:eastAsia="Times New Roman" w:hAnsi="Calibri" w:cs="Arial"/>
          <w:color w:val="000000"/>
          <w:lang w:eastAsia="pl-PL"/>
        </w:rPr>
        <w:t>Ponadto osoba, której dane dotyczą, ma  prawo do wniesienia skargi do organu nadzorczego, którym jest Prezes Urzędu Ochrony Danych Osobowych - w przypadku, gdy uzna, iż  przetwarzanie jej danych osobowych narusza przepisy RODO lub inne krajowe przepisy regulujących kwestię ochrony danych osobowych.</w:t>
      </w:r>
    </w:p>
    <w:p w14:paraId="39C38913" w14:textId="77777777" w:rsidR="006B4DFE" w:rsidRPr="006B4DFE" w:rsidRDefault="006B4DFE" w:rsidP="006B4DFE">
      <w:pPr>
        <w:widowControl w:val="0"/>
        <w:numPr>
          <w:ilvl w:val="0"/>
          <w:numId w:val="1"/>
        </w:numPr>
        <w:shd w:val="clear" w:color="auto" w:fill="FFFFFF"/>
        <w:suppressAutoHyphens/>
        <w:autoSpaceDE w:val="0"/>
        <w:autoSpaceDN w:val="0"/>
        <w:adjustRightInd w:val="0"/>
        <w:spacing w:before="100" w:beforeAutospacing="1" w:after="100" w:afterAutospacing="1" w:line="240" w:lineRule="auto"/>
        <w:jc w:val="both"/>
        <w:rPr>
          <w:rFonts w:ascii="Calibri" w:eastAsia="Times New Roman" w:hAnsi="Calibri" w:cs="Arial"/>
          <w:color w:val="000000"/>
          <w:lang w:eastAsia="pl-PL"/>
        </w:rPr>
      </w:pPr>
      <w:r w:rsidRPr="006B4DFE">
        <w:rPr>
          <w:rFonts w:ascii="Calibri" w:eastAsia="Times New Roman" w:hAnsi="Calibri" w:cs="Arial"/>
          <w:color w:val="000000"/>
          <w:lang w:eastAsia="pl-PL"/>
        </w:rPr>
        <w:t>W przypadku pytań, kontakt z Inspektorem Ochrony Danych Osobowych MFiPR jest możliwy:</w:t>
      </w:r>
    </w:p>
    <w:p w14:paraId="1D6E6CE1" w14:textId="77777777" w:rsidR="006B4DFE" w:rsidRPr="006B4DFE" w:rsidRDefault="006B4DFE" w:rsidP="006B4DFE">
      <w:pPr>
        <w:widowControl w:val="0"/>
        <w:numPr>
          <w:ilvl w:val="1"/>
          <w:numId w:val="1"/>
        </w:numPr>
        <w:shd w:val="clear" w:color="auto" w:fill="FFFFFF"/>
        <w:suppressAutoHyphens/>
        <w:autoSpaceDE w:val="0"/>
        <w:autoSpaceDN w:val="0"/>
        <w:adjustRightInd w:val="0"/>
        <w:spacing w:before="100" w:beforeAutospacing="1" w:after="100" w:afterAutospacing="1" w:line="240" w:lineRule="auto"/>
        <w:jc w:val="both"/>
        <w:rPr>
          <w:rFonts w:ascii="Calibri" w:eastAsia="Times New Roman" w:hAnsi="Calibri" w:cs="Arial"/>
          <w:color w:val="000000"/>
          <w:lang w:eastAsia="pl-PL"/>
        </w:rPr>
      </w:pPr>
      <w:r w:rsidRPr="006B4DFE">
        <w:rPr>
          <w:rFonts w:ascii="Calibri" w:eastAsia="Times New Roman" w:hAnsi="Calibri" w:cs="Arial"/>
          <w:color w:val="000000"/>
          <w:lang w:eastAsia="pl-PL"/>
        </w:rPr>
        <w:t>pod adresem: ul. Wspólna 2/4, 00-926 Warszawa,</w:t>
      </w:r>
    </w:p>
    <w:p w14:paraId="3053B873" w14:textId="77777777" w:rsidR="006B4DFE" w:rsidRPr="006B4DFE" w:rsidRDefault="006B4DFE" w:rsidP="006B4DFE">
      <w:pPr>
        <w:widowControl w:val="0"/>
        <w:numPr>
          <w:ilvl w:val="1"/>
          <w:numId w:val="1"/>
        </w:numPr>
        <w:shd w:val="clear" w:color="auto" w:fill="FFFFFF"/>
        <w:suppressAutoHyphens/>
        <w:autoSpaceDE w:val="0"/>
        <w:autoSpaceDN w:val="0"/>
        <w:adjustRightInd w:val="0"/>
        <w:spacing w:before="100" w:beforeAutospacing="1" w:after="100" w:afterAutospacing="1" w:line="240" w:lineRule="auto"/>
        <w:jc w:val="both"/>
        <w:rPr>
          <w:rFonts w:ascii="Calibri" w:eastAsia="Times New Roman" w:hAnsi="Calibri" w:cs="Arial"/>
          <w:color w:val="000000"/>
          <w:lang w:eastAsia="pl-PL"/>
        </w:rPr>
      </w:pPr>
      <w:r w:rsidRPr="006B4DFE">
        <w:rPr>
          <w:rFonts w:ascii="Calibri" w:eastAsia="Times New Roman" w:hAnsi="Calibri" w:cs="Arial"/>
          <w:color w:val="000000"/>
          <w:lang w:eastAsia="pl-PL"/>
        </w:rPr>
        <w:t>pod adresem poczty elektronicznej: IOD@mfipr.gov.pl</w:t>
      </w:r>
    </w:p>
    <w:p w14:paraId="16D7DCE9" w14:textId="77777777" w:rsidR="006B4DFE" w:rsidRPr="006B4DFE" w:rsidRDefault="006B4DFE" w:rsidP="006B4DF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color w:val="000000"/>
          <w:szCs w:val="20"/>
          <w:lang w:eastAsia="pl-PL"/>
        </w:rPr>
      </w:pPr>
    </w:p>
    <w:p w14:paraId="724294E8" w14:textId="77777777" w:rsidR="006B4DFE" w:rsidRPr="006B4DFE" w:rsidRDefault="006B4DFE" w:rsidP="006B4DF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color w:val="000000"/>
          <w:szCs w:val="20"/>
          <w:lang w:eastAsia="pl-PL"/>
        </w:rPr>
      </w:pPr>
    </w:p>
    <w:p w14:paraId="7F57864F" w14:textId="77777777" w:rsidR="006B4DFE" w:rsidRPr="006B4DFE" w:rsidRDefault="006B4DFE" w:rsidP="006B4DF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color w:val="000000"/>
          <w:szCs w:val="20"/>
          <w:lang w:eastAsia="pl-PL"/>
        </w:rPr>
      </w:pPr>
      <w:r w:rsidRPr="006B4DFE">
        <w:rPr>
          <w:rFonts w:ascii="Calibri" w:eastAsia="Times New Roman" w:hAnsi="Calibri" w:cs="Times New Roman"/>
          <w:color w:val="000000"/>
          <w:szCs w:val="20"/>
          <w:lang w:eastAsia="pl-PL"/>
        </w:rPr>
        <w:t>Szczecin, dnia ………...…... 2021 r.</w:t>
      </w:r>
    </w:p>
    <w:p w14:paraId="5BC8729E" w14:textId="77777777" w:rsidR="006B4DFE" w:rsidRPr="006B4DFE" w:rsidRDefault="006B4DFE" w:rsidP="006B4DFE">
      <w:pPr>
        <w:widowControl w:val="0"/>
        <w:autoSpaceDE w:val="0"/>
        <w:autoSpaceDN w:val="0"/>
        <w:adjustRightInd w:val="0"/>
        <w:spacing w:after="0" w:line="240" w:lineRule="auto"/>
        <w:ind w:left="4956"/>
        <w:jc w:val="both"/>
        <w:rPr>
          <w:rFonts w:ascii="Calibri" w:eastAsia="Times New Roman" w:hAnsi="Calibri" w:cs="Times New Roman"/>
          <w:color w:val="000000"/>
          <w:szCs w:val="20"/>
          <w:lang w:eastAsia="pl-PL"/>
        </w:rPr>
      </w:pPr>
      <w:r w:rsidRPr="006B4DFE">
        <w:rPr>
          <w:rFonts w:ascii="Calibri" w:eastAsia="Times New Roman" w:hAnsi="Calibri" w:cs="Times New Roman"/>
          <w:color w:val="000000"/>
          <w:szCs w:val="20"/>
          <w:lang w:eastAsia="pl-PL"/>
        </w:rPr>
        <w:t xml:space="preserve">           ................................................</w:t>
      </w:r>
    </w:p>
    <w:p w14:paraId="33E20339" w14:textId="77777777" w:rsidR="006B4DFE" w:rsidRPr="006B4DFE" w:rsidRDefault="006B4DFE" w:rsidP="006B4DFE">
      <w:pPr>
        <w:widowControl w:val="0"/>
        <w:autoSpaceDE w:val="0"/>
        <w:autoSpaceDN w:val="0"/>
        <w:adjustRightInd w:val="0"/>
        <w:spacing w:after="0" w:line="240" w:lineRule="auto"/>
        <w:ind w:left="4956"/>
        <w:jc w:val="center"/>
        <w:rPr>
          <w:rFonts w:ascii="Calibri" w:eastAsia="Times New Roman" w:hAnsi="Calibri" w:cs="Times New Roman"/>
          <w:color w:val="000000"/>
          <w:szCs w:val="20"/>
          <w:lang w:eastAsia="pl-PL"/>
        </w:rPr>
      </w:pPr>
      <w:r w:rsidRPr="006B4DFE">
        <w:rPr>
          <w:rFonts w:ascii="Calibri" w:eastAsia="Times New Roman" w:hAnsi="Calibri" w:cs="Tahoma"/>
          <w:b/>
          <w:color w:val="000000"/>
          <w:szCs w:val="20"/>
          <w:lang w:eastAsia="pl-PL"/>
        </w:rPr>
        <w:t>WYKONAWCA</w:t>
      </w:r>
    </w:p>
    <w:p w14:paraId="00A263CC" w14:textId="77777777" w:rsidR="006B4DFE" w:rsidRPr="006B4DFE" w:rsidRDefault="006B4DFE" w:rsidP="006B4DF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pl-PL"/>
        </w:rPr>
      </w:pPr>
    </w:p>
    <w:p w14:paraId="70DB4486" w14:textId="77777777" w:rsidR="006B4DFE" w:rsidRPr="006B4DFE" w:rsidRDefault="006B4DFE" w:rsidP="006B4DFE">
      <w:pPr>
        <w:suppressAutoHyphens/>
        <w:spacing w:after="0" w:line="240" w:lineRule="auto"/>
        <w:ind w:left="709"/>
        <w:jc w:val="both"/>
        <w:rPr>
          <w:rFonts w:ascii="Calibri" w:eastAsia="Times New Roman" w:hAnsi="Calibri" w:cs="Times New Roman"/>
          <w:lang w:eastAsia="zh-CN"/>
        </w:rPr>
      </w:pPr>
    </w:p>
    <w:p w14:paraId="4FFA021D" w14:textId="77777777" w:rsidR="00D14648" w:rsidRDefault="00D14648"/>
    <w:sectPr w:rsidR="00D14648" w:rsidSect="006B4DF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20" w:right="1133" w:bottom="720" w:left="142" w:header="709" w:footer="680" w:gutter="1134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BCFA4DD" w14:textId="77777777" w:rsidR="00335BDF" w:rsidRDefault="00335BDF" w:rsidP="006B4DFE">
      <w:pPr>
        <w:spacing w:after="0" w:line="240" w:lineRule="auto"/>
      </w:pPr>
      <w:r>
        <w:separator/>
      </w:r>
    </w:p>
  </w:endnote>
  <w:endnote w:type="continuationSeparator" w:id="0">
    <w:p w14:paraId="5A4C0955" w14:textId="77777777" w:rsidR="00335BDF" w:rsidRDefault="00335BDF" w:rsidP="006B4D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">
    <w:altName w:val="Times New Roman"/>
    <w:panose1 w:val="00000000000000000000"/>
    <w:charset w:val="EE"/>
    <w:family w:val="auto"/>
    <w:notTrueType/>
    <w:pitch w:val="default"/>
    <w:sig w:usb0="00000085" w:usb1="00000000" w:usb2="00000000" w:usb3="00000000" w:csb0="0000000A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74751C" w14:textId="77777777" w:rsidR="00967EB6" w:rsidRDefault="00967EB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553202634"/>
      <w:docPartObj>
        <w:docPartGallery w:val="Page Numbers (Bottom of Page)"/>
        <w:docPartUnique/>
      </w:docPartObj>
    </w:sdtPr>
    <w:sdtEndPr/>
    <w:sdtContent>
      <w:sdt>
        <w:sdtPr>
          <w:id w:val="-430279708"/>
          <w:docPartObj>
            <w:docPartGallery w:val="Page Numbers (Top of Page)"/>
            <w:docPartUnique/>
          </w:docPartObj>
        </w:sdtPr>
        <w:sdtEndPr/>
        <w:sdtContent>
          <w:p w14:paraId="26E0CA75" w14:textId="77777777" w:rsidR="007749C5" w:rsidRDefault="00FE720A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8C3C099" w14:textId="77777777" w:rsidR="007749C5" w:rsidRDefault="00335BDF">
    <w:pPr>
      <w:pStyle w:val="Stopka"/>
      <w:tabs>
        <w:tab w:val="clear" w:pos="9072"/>
        <w:tab w:val="left" w:pos="9071"/>
      </w:tabs>
      <w:ind w:right="-1"/>
      <w:rPr>
        <w:rFonts w:ascii="Arial" w:hAnsi="Arial" w:cs="Arial"/>
        <w:i/>
        <w:iCs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422325641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D1F4ADF" w14:textId="77777777" w:rsidR="007749C5" w:rsidRDefault="00FE720A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4884C9D" w14:textId="77777777" w:rsidR="007749C5" w:rsidRDefault="00335BD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FFBAD36" w14:textId="77777777" w:rsidR="00335BDF" w:rsidRDefault="00335BDF" w:rsidP="006B4DFE">
      <w:pPr>
        <w:spacing w:after="0" w:line="240" w:lineRule="auto"/>
      </w:pPr>
      <w:r>
        <w:separator/>
      </w:r>
    </w:p>
  </w:footnote>
  <w:footnote w:type="continuationSeparator" w:id="0">
    <w:p w14:paraId="2C8BB3E7" w14:textId="77777777" w:rsidR="00335BDF" w:rsidRDefault="00335BDF" w:rsidP="006B4D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1D15AFE" w14:textId="77777777" w:rsidR="00967EB6" w:rsidRDefault="00967EB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1EF2A3D" w14:textId="77777777" w:rsidR="00967EB6" w:rsidRDefault="00967EB6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6A608E5" w14:textId="07960B99" w:rsidR="007749C5" w:rsidRDefault="00335BDF" w:rsidP="006B4DFE">
    <w:pPr>
      <w:pStyle w:val="Nagwek"/>
      <w:ind w:left="-42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FBA5216"/>
    <w:multiLevelType w:val="multilevel"/>
    <w:tmpl w:val="79E4B7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4DFE"/>
    <w:rsid w:val="00001542"/>
    <w:rsid w:val="00335BDF"/>
    <w:rsid w:val="003904A4"/>
    <w:rsid w:val="006B4DFE"/>
    <w:rsid w:val="00967EB6"/>
    <w:rsid w:val="00D14648"/>
    <w:rsid w:val="00FE72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8350EF"/>
  <w15:chartTrackingRefBased/>
  <w15:docId w15:val="{DE396ACA-D06C-4725-A6FC-C9A75B78CB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6B4D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B4DFE"/>
  </w:style>
  <w:style w:type="paragraph" w:styleId="Nagwek">
    <w:name w:val="header"/>
    <w:basedOn w:val="Normalny"/>
    <w:link w:val="NagwekZnak"/>
    <w:uiPriority w:val="99"/>
    <w:rsid w:val="006B4DFE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customStyle="1" w:styleId="NagwekZnak">
    <w:name w:val="Nagłówek Znak"/>
    <w:basedOn w:val="Domylnaczcionkaakapitu"/>
    <w:link w:val="Nagwek"/>
    <w:uiPriority w:val="99"/>
    <w:rsid w:val="006B4DFE"/>
    <w:rPr>
      <w:rFonts w:ascii="Times New Roman" w:eastAsia="Times New Roman" w:hAnsi="Times New Roman" w:cs="Times New Roman"/>
      <w:sz w:val="24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720</Words>
  <Characters>4324</Characters>
  <Application>Microsoft Office Word</Application>
  <DocSecurity>0</DocSecurity>
  <Lines>36</Lines>
  <Paragraphs>10</Paragraphs>
  <ScaleCrop>false</ScaleCrop>
  <Company/>
  <LinksUpToDate>false</LinksUpToDate>
  <CharactersWithSpaces>5034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Poprawa</dc:creator>
  <cp:keywords/>
  <dc:description/>
  <cp:lastModifiedBy>Jan Poprawa</cp:lastModifiedBy>
  <cp:revision>3</cp:revision>
  <dcterms:created xsi:type="dcterms:W3CDTF">2020-12-01T21:29:00Z</dcterms:created>
  <dcterms:modified xsi:type="dcterms:W3CDTF">2020-12-02T14:00:00Z</dcterms:modified>
</cp:coreProperties>
</file>